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1569D" w14:textId="77777777" w:rsidR="00673840" w:rsidRPr="00DA5DDA" w:rsidRDefault="003C58EB" w:rsidP="003C58EB">
      <w:pPr>
        <w:rPr>
          <w:rFonts w:ascii="Arial" w:hAnsi="Arial" w:cs="Arial"/>
          <w:b/>
          <w:bCs/>
          <w:sz w:val="24"/>
          <w:szCs w:val="24"/>
        </w:rPr>
      </w:pPr>
      <w:r w:rsidRPr="00DA5DDA">
        <w:rPr>
          <w:rFonts w:ascii="Arial" w:hAnsi="Arial" w:cs="Arial"/>
          <w:b/>
          <w:bCs/>
          <w:sz w:val="24"/>
          <w:szCs w:val="24"/>
        </w:rPr>
        <w:t>Título</w:t>
      </w:r>
      <w:r w:rsidR="00673840" w:rsidRPr="00DA5DDA">
        <w:rPr>
          <w:rFonts w:ascii="Arial" w:hAnsi="Arial" w:cs="Arial"/>
          <w:b/>
          <w:bCs/>
          <w:sz w:val="24"/>
          <w:szCs w:val="24"/>
        </w:rPr>
        <w:t xml:space="preserve"> del proyecto:</w:t>
      </w:r>
    </w:p>
    <w:p w14:paraId="2814FFE7" w14:textId="3BC48001" w:rsidR="003C58EB" w:rsidRPr="00DA5DDA" w:rsidRDefault="003C58EB" w:rsidP="003C58EB">
      <w:pPr>
        <w:rPr>
          <w:rFonts w:ascii="Arial" w:hAnsi="Arial" w:cs="Arial"/>
          <w:sz w:val="24"/>
          <w:szCs w:val="24"/>
        </w:rPr>
      </w:pPr>
      <w:r w:rsidRPr="00DA5DDA">
        <w:rPr>
          <w:rFonts w:ascii="Arial" w:hAnsi="Arial" w:cs="Arial"/>
          <w:sz w:val="24"/>
          <w:szCs w:val="24"/>
        </w:rPr>
        <w:t>El techo verde en las ciudades, una solución orgánica ante el cambio climático</w:t>
      </w:r>
    </w:p>
    <w:p w14:paraId="5C4E3FCB" w14:textId="77777777" w:rsidR="00673840" w:rsidRPr="00DA5DDA" w:rsidRDefault="003C58EB" w:rsidP="003C58EB">
      <w:pPr>
        <w:rPr>
          <w:rFonts w:ascii="Arial" w:hAnsi="Arial" w:cs="Arial"/>
          <w:sz w:val="24"/>
          <w:szCs w:val="24"/>
        </w:rPr>
      </w:pPr>
      <w:r w:rsidRPr="00DA5DDA">
        <w:rPr>
          <w:rFonts w:ascii="Arial" w:hAnsi="Arial" w:cs="Arial"/>
          <w:b/>
          <w:bCs/>
          <w:sz w:val="24"/>
          <w:szCs w:val="24"/>
        </w:rPr>
        <w:t>Duración solicitada:</w:t>
      </w:r>
      <w:r w:rsidRPr="00DA5DDA">
        <w:rPr>
          <w:rFonts w:ascii="Arial" w:hAnsi="Arial" w:cs="Arial"/>
          <w:sz w:val="24"/>
          <w:szCs w:val="24"/>
        </w:rPr>
        <w:t xml:space="preserve"> </w:t>
      </w:r>
    </w:p>
    <w:p w14:paraId="48AA173C" w14:textId="7C6F7E53" w:rsidR="003C58EB" w:rsidRPr="00DA5DDA" w:rsidRDefault="003C58EB" w:rsidP="003C58EB">
      <w:pPr>
        <w:rPr>
          <w:rFonts w:ascii="Arial" w:hAnsi="Arial" w:cs="Arial"/>
          <w:sz w:val="24"/>
          <w:szCs w:val="24"/>
        </w:rPr>
      </w:pPr>
      <w:r w:rsidRPr="00DA5DDA">
        <w:rPr>
          <w:rFonts w:ascii="Arial" w:hAnsi="Arial" w:cs="Arial"/>
          <w:sz w:val="24"/>
          <w:szCs w:val="24"/>
        </w:rPr>
        <w:t>2 años</w:t>
      </w:r>
    </w:p>
    <w:p w14:paraId="3B639CB0" w14:textId="6A52000F" w:rsidR="00673840" w:rsidRPr="00DA5DDA" w:rsidRDefault="00673840" w:rsidP="003C58EB">
      <w:pPr>
        <w:rPr>
          <w:rFonts w:ascii="Arial" w:hAnsi="Arial" w:cs="Arial"/>
          <w:b/>
          <w:bCs/>
          <w:sz w:val="24"/>
          <w:szCs w:val="24"/>
        </w:rPr>
      </w:pPr>
      <w:r w:rsidRPr="00DA5DDA">
        <w:rPr>
          <w:rFonts w:ascii="Arial" w:hAnsi="Arial" w:cs="Arial"/>
          <w:b/>
          <w:bCs/>
          <w:sz w:val="24"/>
          <w:szCs w:val="24"/>
        </w:rPr>
        <w:t xml:space="preserve">Alumna y </w:t>
      </w:r>
      <w:proofErr w:type="spellStart"/>
      <w:r w:rsidRPr="00DA5DDA">
        <w:rPr>
          <w:rFonts w:ascii="Arial" w:hAnsi="Arial" w:cs="Arial"/>
          <w:b/>
          <w:bCs/>
          <w:sz w:val="24"/>
          <w:szCs w:val="24"/>
        </w:rPr>
        <w:t>co-responsable</w:t>
      </w:r>
      <w:proofErr w:type="spellEnd"/>
      <w:r w:rsidRPr="00DA5DDA">
        <w:rPr>
          <w:rFonts w:ascii="Arial" w:hAnsi="Arial" w:cs="Arial"/>
          <w:b/>
          <w:bCs/>
          <w:sz w:val="24"/>
          <w:szCs w:val="24"/>
        </w:rPr>
        <w:t>:</w:t>
      </w:r>
    </w:p>
    <w:p w14:paraId="032B2DDF" w14:textId="561EB314" w:rsidR="003C58EB" w:rsidRPr="00DA5DDA" w:rsidRDefault="003C58EB" w:rsidP="003C58EB">
      <w:pPr>
        <w:rPr>
          <w:rFonts w:ascii="Arial" w:hAnsi="Arial" w:cs="Arial"/>
          <w:sz w:val="24"/>
          <w:szCs w:val="24"/>
        </w:rPr>
      </w:pPr>
      <w:r w:rsidRPr="00DA5DDA">
        <w:rPr>
          <w:rFonts w:ascii="Arial" w:hAnsi="Arial" w:cs="Arial"/>
          <w:sz w:val="24"/>
          <w:szCs w:val="24"/>
        </w:rPr>
        <w:t>Ana Laura Cervantes Nájera</w:t>
      </w:r>
      <w:r w:rsidR="00EE51DB" w:rsidRPr="00DA5DDA">
        <w:rPr>
          <w:rFonts w:ascii="Arial" w:hAnsi="Arial" w:cs="Arial"/>
          <w:sz w:val="24"/>
          <w:szCs w:val="24"/>
        </w:rPr>
        <w:t>, Lorena Elizabeth Campos Villegas</w:t>
      </w:r>
    </w:p>
    <w:p w14:paraId="3592F795" w14:textId="7EB06CD7" w:rsidR="00673840" w:rsidRPr="00DA5DDA" w:rsidRDefault="00673840" w:rsidP="003C58EB">
      <w:pPr>
        <w:rPr>
          <w:rFonts w:ascii="Arial" w:hAnsi="Arial" w:cs="Arial"/>
          <w:b/>
          <w:bCs/>
          <w:sz w:val="24"/>
          <w:szCs w:val="24"/>
        </w:rPr>
      </w:pPr>
      <w:r w:rsidRPr="00DA5DDA">
        <w:rPr>
          <w:rFonts w:ascii="Arial" w:hAnsi="Arial" w:cs="Arial"/>
          <w:b/>
          <w:bCs/>
          <w:sz w:val="24"/>
          <w:szCs w:val="24"/>
        </w:rPr>
        <w:t>Dependencia politécnica de adscripción:</w:t>
      </w:r>
    </w:p>
    <w:p w14:paraId="2A8B7A69" w14:textId="66D93353" w:rsidR="003C58EB" w:rsidRPr="00DA5DDA" w:rsidRDefault="003C58EB" w:rsidP="003C58EB">
      <w:pPr>
        <w:rPr>
          <w:rFonts w:ascii="Arial" w:hAnsi="Arial" w:cs="Arial"/>
          <w:sz w:val="24"/>
          <w:szCs w:val="24"/>
        </w:rPr>
      </w:pPr>
      <w:r w:rsidRPr="00DA5DDA">
        <w:rPr>
          <w:rFonts w:ascii="Arial" w:hAnsi="Arial" w:cs="Arial"/>
          <w:sz w:val="24"/>
          <w:szCs w:val="24"/>
        </w:rPr>
        <w:t>Centro Interdisciplinario de Investigaciones y Estudios sobre Medio Ambiente y Desarrollo (CIIEMAD)</w:t>
      </w:r>
    </w:p>
    <w:p w14:paraId="579D0A41" w14:textId="2A7F68E0" w:rsidR="000F6295" w:rsidRPr="00DA5DDA" w:rsidRDefault="000F6295">
      <w:pPr>
        <w:rPr>
          <w:rFonts w:ascii="Arial" w:hAnsi="Arial" w:cs="Arial"/>
          <w:b/>
          <w:bCs/>
          <w:sz w:val="24"/>
          <w:szCs w:val="24"/>
        </w:rPr>
      </w:pPr>
      <w:r w:rsidRPr="00DA5DDA">
        <w:rPr>
          <w:rFonts w:ascii="Arial" w:hAnsi="Arial" w:cs="Arial"/>
          <w:b/>
          <w:bCs/>
          <w:sz w:val="24"/>
          <w:szCs w:val="24"/>
        </w:rPr>
        <w:t xml:space="preserve">Resumen </w:t>
      </w:r>
    </w:p>
    <w:p w14:paraId="5951B76E" w14:textId="1CC18A8F" w:rsidR="003C58EB" w:rsidRDefault="003C58EB" w:rsidP="008D363B">
      <w:pPr>
        <w:spacing w:line="360" w:lineRule="auto"/>
        <w:jc w:val="both"/>
        <w:rPr>
          <w:rFonts w:ascii="Arial" w:hAnsi="Arial" w:cs="Arial"/>
          <w:sz w:val="24"/>
          <w:szCs w:val="24"/>
        </w:rPr>
      </w:pPr>
      <w:r w:rsidRPr="008D363B">
        <w:rPr>
          <w:rFonts w:ascii="Arial" w:hAnsi="Arial" w:cs="Arial"/>
          <w:sz w:val="24"/>
          <w:szCs w:val="24"/>
        </w:rPr>
        <w:t xml:space="preserve">La Ciudad de México ha sufrido de cambios en el uso de suelo y con ello la disminución de áreas verdes urbanas (AVU), las cuales por sus características son importantes ya que proveen de servicios ecosistémicos aprovechados por las personas. El techo verde es una solución basada en la naturaleza (SBN) empleada en ciudades para adaptarlas al cambio climático, recuperar áreas verdes y sus respectivos beneficios. A pesar de ser una tecnología que genera beneficios al medio ambiente urbano, la ciudadanía desconoce su funcionamiento y utilidad, además que dentro de su estructura tiene elementos poliméricos que pueden ser reemplazados con materiales orgánicos para mejorar su desempeño y disminuir la huella de carbono. Para solucionar ambas cuestiones </w:t>
      </w:r>
      <w:r w:rsidR="008E1584" w:rsidRPr="008D363B">
        <w:rPr>
          <w:rFonts w:ascii="Arial" w:hAnsi="Arial" w:cs="Arial"/>
          <w:sz w:val="24"/>
          <w:szCs w:val="24"/>
        </w:rPr>
        <w:t xml:space="preserve">en este proyecto se realiza un estudio preliminar sobre el conocimiento de </w:t>
      </w:r>
      <w:r w:rsidRPr="008D363B">
        <w:rPr>
          <w:rFonts w:ascii="Arial" w:hAnsi="Arial" w:cs="Arial"/>
          <w:sz w:val="24"/>
          <w:szCs w:val="24"/>
        </w:rPr>
        <w:t xml:space="preserve">estudiantes de nivel medio sobre los SBN </w:t>
      </w:r>
      <w:r w:rsidR="008E1584" w:rsidRPr="008D363B">
        <w:rPr>
          <w:rFonts w:ascii="Arial" w:hAnsi="Arial" w:cs="Arial"/>
          <w:sz w:val="24"/>
          <w:szCs w:val="24"/>
        </w:rPr>
        <w:t xml:space="preserve">y con ello </w:t>
      </w:r>
      <w:r w:rsidR="008E1584" w:rsidRPr="008D363B">
        <w:rPr>
          <w:rFonts w:ascii="Arial" w:hAnsi="Arial" w:cs="Arial"/>
          <w:sz w:val="24"/>
          <w:szCs w:val="24"/>
        </w:rPr>
        <w:t>generar</w:t>
      </w:r>
      <w:r w:rsidR="002567B2" w:rsidRPr="008D363B">
        <w:rPr>
          <w:rFonts w:ascii="Arial" w:hAnsi="Arial" w:cs="Arial"/>
          <w:sz w:val="24"/>
          <w:szCs w:val="24"/>
        </w:rPr>
        <w:t xml:space="preserve"> </w:t>
      </w:r>
      <w:proofErr w:type="spellStart"/>
      <w:r w:rsidR="002567B2" w:rsidRPr="008D363B">
        <w:rPr>
          <w:rFonts w:ascii="Arial" w:hAnsi="Arial" w:cs="Arial"/>
          <w:sz w:val="24"/>
          <w:szCs w:val="24"/>
        </w:rPr>
        <w:t>el</w:t>
      </w:r>
      <w:proofErr w:type="spellEnd"/>
      <w:r w:rsidR="002567B2" w:rsidRPr="008D363B">
        <w:rPr>
          <w:rFonts w:ascii="Arial" w:hAnsi="Arial" w:cs="Arial"/>
          <w:sz w:val="24"/>
          <w:szCs w:val="24"/>
        </w:rPr>
        <w:t xml:space="preserve"> marco teórico a abordar en</w:t>
      </w:r>
      <w:r w:rsidR="008E1584" w:rsidRPr="008D363B">
        <w:rPr>
          <w:rFonts w:ascii="Arial" w:hAnsi="Arial" w:cs="Arial"/>
          <w:sz w:val="24"/>
          <w:szCs w:val="24"/>
        </w:rPr>
        <w:t xml:space="preserve"> un taller interactivo</w:t>
      </w:r>
      <w:r w:rsidR="008E1584" w:rsidRPr="008D363B">
        <w:rPr>
          <w:rFonts w:ascii="Arial" w:hAnsi="Arial" w:cs="Arial"/>
          <w:sz w:val="24"/>
          <w:szCs w:val="24"/>
        </w:rPr>
        <w:t xml:space="preserve">. El contenido </w:t>
      </w:r>
      <w:r w:rsidR="002567B2" w:rsidRPr="008D363B">
        <w:rPr>
          <w:rFonts w:ascii="Arial" w:hAnsi="Arial" w:cs="Arial"/>
          <w:sz w:val="24"/>
          <w:szCs w:val="24"/>
        </w:rPr>
        <w:t xml:space="preserve">interactivo </w:t>
      </w:r>
      <w:r w:rsidR="008E1584" w:rsidRPr="008D363B">
        <w:rPr>
          <w:rFonts w:ascii="Arial" w:hAnsi="Arial" w:cs="Arial"/>
          <w:sz w:val="24"/>
          <w:szCs w:val="24"/>
        </w:rPr>
        <w:t xml:space="preserve">de este taller se creó a partir de la </w:t>
      </w:r>
      <w:r w:rsidRPr="008D363B">
        <w:rPr>
          <w:rFonts w:ascii="Arial" w:hAnsi="Arial" w:cs="Arial"/>
          <w:sz w:val="24"/>
          <w:szCs w:val="24"/>
        </w:rPr>
        <w:t>implementa</w:t>
      </w:r>
      <w:r w:rsidR="008E1584" w:rsidRPr="008D363B">
        <w:rPr>
          <w:rFonts w:ascii="Arial" w:hAnsi="Arial" w:cs="Arial"/>
          <w:sz w:val="24"/>
          <w:szCs w:val="24"/>
        </w:rPr>
        <w:t>ción</w:t>
      </w:r>
      <w:r w:rsidRPr="008D363B">
        <w:rPr>
          <w:rFonts w:ascii="Arial" w:hAnsi="Arial" w:cs="Arial"/>
          <w:sz w:val="24"/>
          <w:szCs w:val="24"/>
        </w:rPr>
        <w:t xml:space="preserve"> un techo verde</w:t>
      </w:r>
      <w:r w:rsidR="008E1584" w:rsidRPr="008D363B">
        <w:rPr>
          <w:rFonts w:ascii="Arial" w:hAnsi="Arial" w:cs="Arial"/>
          <w:sz w:val="24"/>
          <w:szCs w:val="24"/>
        </w:rPr>
        <w:t xml:space="preserve"> ligero extensivo (TVLE)</w:t>
      </w:r>
      <w:r w:rsidRPr="008D363B">
        <w:rPr>
          <w:rFonts w:ascii="Arial" w:hAnsi="Arial" w:cs="Arial"/>
          <w:sz w:val="24"/>
          <w:szCs w:val="24"/>
        </w:rPr>
        <w:t xml:space="preserve"> con material drenante orgánico en </w:t>
      </w:r>
      <w:r w:rsidR="008E1584" w:rsidRPr="008D363B">
        <w:rPr>
          <w:rFonts w:ascii="Arial" w:hAnsi="Arial" w:cs="Arial"/>
          <w:sz w:val="24"/>
          <w:szCs w:val="24"/>
        </w:rPr>
        <w:t>l</w:t>
      </w:r>
      <w:r w:rsidRPr="008D363B">
        <w:rPr>
          <w:rFonts w:ascii="Arial" w:hAnsi="Arial" w:cs="Arial"/>
          <w:sz w:val="24"/>
          <w:szCs w:val="24"/>
        </w:rPr>
        <w:t>a caseta de vigilancia del CIIEMAD</w:t>
      </w:r>
      <w:r w:rsidR="002567B2" w:rsidRPr="008D363B">
        <w:rPr>
          <w:rFonts w:ascii="Arial" w:hAnsi="Arial" w:cs="Arial"/>
          <w:sz w:val="24"/>
          <w:szCs w:val="24"/>
        </w:rPr>
        <w:t>.</w:t>
      </w:r>
      <w:r w:rsidR="00DB4D4C" w:rsidRPr="008D363B">
        <w:rPr>
          <w:rFonts w:ascii="Arial" w:hAnsi="Arial" w:cs="Arial"/>
          <w:sz w:val="24"/>
          <w:szCs w:val="24"/>
        </w:rPr>
        <w:t xml:space="preserve"> </w:t>
      </w:r>
      <w:r w:rsidR="0035211A">
        <w:rPr>
          <w:rFonts w:ascii="Arial" w:hAnsi="Arial" w:cs="Arial"/>
          <w:sz w:val="24"/>
          <w:szCs w:val="24"/>
        </w:rPr>
        <w:t>El monitoreo sobre el desempeño ambiental continuará durante lo que resta del período del proyecto.</w:t>
      </w:r>
      <w:r w:rsidR="0035211A">
        <w:rPr>
          <w:rFonts w:ascii="Arial" w:hAnsi="Arial" w:cs="Arial"/>
          <w:sz w:val="24"/>
          <w:szCs w:val="24"/>
        </w:rPr>
        <w:t xml:space="preserve"> </w:t>
      </w:r>
      <w:r w:rsidR="00DB4D4C" w:rsidRPr="008D363B">
        <w:rPr>
          <w:rFonts w:ascii="Arial" w:hAnsi="Arial" w:cs="Arial"/>
          <w:sz w:val="24"/>
          <w:szCs w:val="24"/>
        </w:rPr>
        <w:t>Los resultados preliminares del TVLE</w:t>
      </w:r>
      <w:r w:rsidR="00E36C96">
        <w:rPr>
          <w:rFonts w:ascii="Arial" w:hAnsi="Arial" w:cs="Arial"/>
          <w:sz w:val="24"/>
          <w:szCs w:val="24"/>
        </w:rPr>
        <w:t xml:space="preserve"> durante su período de adaptación</w:t>
      </w:r>
      <w:r w:rsidR="00DB4D4C" w:rsidRPr="008D363B">
        <w:rPr>
          <w:rFonts w:ascii="Arial" w:hAnsi="Arial" w:cs="Arial"/>
          <w:sz w:val="24"/>
          <w:szCs w:val="24"/>
        </w:rPr>
        <w:t xml:space="preserve"> es la sobrevivencia en un 85% </w:t>
      </w:r>
      <w:r w:rsidR="008D363B" w:rsidRPr="008D363B">
        <w:rPr>
          <w:rFonts w:ascii="Arial" w:hAnsi="Arial" w:cs="Arial"/>
          <w:sz w:val="24"/>
          <w:szCs w:val="24"/>
        </w:rPr>
        <w:t>del total de la vegetación, pero también</w:t>
      </w:r>
      <w:r w:rsidR="00DB4D4C" w:rsidRPr="008D363B">
        <w:rPr>
          <w:rFonts w:ascii="Arial" w:hAnsi="Arial" w:cs="Arial"/>
          <w:sz w:val="24"/>
          <w:szCs w:val="24"/>
        </w:rPr>
        <w:t xml:space="preserve"> el arribo de </w:t>
      </w:r>
      <w:r w:rsidR="008D363B" w:rsidRPr="008D363B">
        <w:rPr>
          <w:rFonts w:ascii="Arial" w:hAnsi="Arial" w:cs="Arial"/>
          <w:sz w:val="24"/>
          <w:szCs w:val="24"/>
        </w:rPr>
        <w:t>flora</w:t>
      </w:r>
      <w:r w:rsidR="00DB4D4C" w:rsidRPr="008D363B">
        <w:rPr>
          <w:rFonts w:ascii="Arial" w:hAnsi="Arial" w:cs="Arial"/>
          <w:sz w:val="24"/>
          <w:szCs w:val="24"/>
        </w:rPr>
        <w:t xml:space="preserve"> nativa</w:t>
      </w:r>
      <w:r w:rsidR="00E36C96">
        <w:rPr>
          <w:rFonts w:ascii="Arial" w:hAnsi="Arial" w:cs="Arial"/>
          <w:sz w:val="24"/>
          <w:szCs w:val="24"/>
        </w:rPr>
        <w:t xml:space="preserve"> y una asimilación de 9.43x10</w:t>
      </w:r>
      <w:r w:rsidR="00E36C96" w:rsidRPr="00E36C96">
        <w:rPr>
          <w:rFonts w:ascii="Arial" w:hAnsi="Arial" w:cs="Arial"/>
          <w:sz w:val="24"/>
          <w:szCs w:val="24"/>
          <w:vertAlign w:val="superscript"/>
        </w:rPr>
        <w:t>6</w:t>
      </w:r>
      <w:r w:rsidR="00E36C96">
        <w:rPr>
          <w:rFonts w:ascii="Arial" w:hAnsi="Arial" w:cs="Arial"/>
          <w:sz w:val="24"/>
          <w:szCs w:val="24"/>
        </w:rPr>
        <w:t xml:space="preserve"> ppmCO</w:t>
      </w:r>
      <w:r w:rsidR="00E36C96" w:rsidRPr="0035211A">
        <w:rPr>
          <w:rFonts w:ascii="Arial" w:hAnsi="Arial" w:cs="Arial"/>
          <w:sz w:val="24"/>
          <w:szCs w:val="24"/>
          <w:vertAlign w:val="subscript"/>
        </w:rPr>
        <w:t>2</w:t>
      </w:r>
      <w:r w:rsidR="0035211A">
        <w:rPr>
          <w:rFonts w:ascii="Arial" w:hAnsi="Arial" w:cs="Arial"/>
          <w:sz w:val="24"/>
          <w:szCs w:val="24"/>
        </w:rPr>
        <w:t xml:space="preserve"> </w:t>
      </w:r>
      <w:r w:rsidR="0035211A">
        <w:rPr>
          <w:rFonts w:ascii="Arial" w:hAnsi="Arial" w:cs="Arial"/>
          <w:sz w:val="24"/>
          <w:szCs w:val="24"/>
        </w:rPr>
        <w:t>en 36 plantas</w:t>
      </w:r>
      <w:r w:rsidR="0035211A">
        <w:rPr>
          <w:rFonts w:ascii="Arial" w:hAnsi="Arial" w:cs="Arial"/>
          <w:sz w:val="24"/>
          <w:szCs w:val="24"/>
        </w:rPr>
        <w:t xml:space="preserve">. </w:t>
      </w:r>
    </w:p>
    <w:p w14:paraId="769F02FB" w14:textId="77777777" w:rsidR="0035211A" w:rsidRPr="008D363B" w:rsidRDefault="0035211A" w:rsidP="008D363B">
      <w:pPr>
        <w:spacing w:line="360" w:lineRule="auto"/>
        <w:jc w:val="both"/>
        <w:rPr>
          <w:rFonts w:ascii="Arial" w:hAnsi="Arial" w:cs="Arial"/>
          <w:sz w:val="24"/>
          <w:szCs w:val="24"/>
        </w:rPr>
      </w:pPr>
    </w:p>
    <w:p w14:paraId="7873F159" w14:textId="751043E4" w:rsidR="000F6295" w:rsidRPr="00955F89" w:rsidRDefault="000F6295">
      <w:pPr>
        <w:rPr>
          <w:b/>
          <w:bCs/>
        </w:rPr>
      </w:pPr>
      <w:r w:rsidRPr="00955F89">
        <w:rPr>
          <w:b/>
          <w:bCs/>
        </w:rPr>
        <w:lastRenderedPageBreak/>
        <w:tab/>
      </w:r>
      <w:r w:rsidRPr="001E6539">
        <w:rPr>
          <w:rFonts w:ascii="Arial" w:hAnsi="Arial" w:cs="Arial"/>
          <w:b/>
          <w:bCs/>
          <w:sz w:val="24"/>
          <w:szCs w:val="24"/>
        </w:rPr>
        <w:t xml:space="preserve">Introducción </w:t>
      </w:r>
    </w:p>
    <w:p w14:paraId="5FA81A1E" w14:textId="4060BBDA" w:rsidR="00A8247E" w:rsidRDefault="001E6539" w:rsidP="000D1B60">
      <w:pPr>
        <w:spacing w:line="360" w:lineRule="auto"/>
        <w:jc w:val="both"/>
        <w:rPr>
          <w:rFonts w:ascii="Arial" w:eastAsia="Arial" w:hAnsi="Arial" w:cs="Arial"/>
          <w:sz w:val="24"/>
          <w:szCs w:val="24"/>
        </w:rPr>
      </w:pPr>
      <w:r w:rsidRPr="0087457F">
        <w:rPr>
          <w:rFonts w:ascii="Arial" w:hAnsi="Arial" w:cs="Arial"/>
          <w:sz w:val="24"/>
          <w:szCs w:val="24"/>
        </w:rPr>
        <w:t>Todos los mexicanos de acuerdo con el a</w:t>
      </w:r>
      <w:r w:rsidR="00955F89" w:rsidRPr="0087457F">
        <w:rPr>
          <w:rFonts w:ascii="Arial" w:hAnsi="Arial" w:cs="Arial"/>
          <w:sz w:val="24"/>
          <w:szCs w:val="24"/>
        </w:rPr>
        <w:t xml:space="preserve">rtículo 4° de en la Constitución Política de los Estados Unidos Mexicanos </w:t>
      </w:r>
      <w:r w:rsidR="0087457F" w:rsidRPr="0087457F">
        <w:rPr>
          <w:rFonts w:ascii="Arial" w:hAnsi="Arial" w:cs="Arial"/>
          <w:sz w:val="24"/>
          <w:szCs w:val="24"/>
        </w:rPr>
        <w:t xml:space="preserve">tienen </w:t>
      </w:r>
      <w:r w:rsidR="00955F89" w:rsidRPr="0087457F">
        <w:rPr>
          <w:rFonts w:ascii="Arial" w:hAnsi="Arial" w:cs="Arial"/>
          <w:sz w:val="24"/>
          <w:szCs w:val="24"/>
        </w:rPr>
        <w:t>el derecho a un medio ambiente sano</w:t>
      </w:r>
      <w:r w:rsidRPr="0087457F">
        <w:rPr>
          <w:rFonts w:ascii="Arial" w:hAnsi="Arial" w:cs="Arial"/>
          <w:sz w:val="24"/>
          <w:szCs w:val="24"/>
        </w:rPr>
        <w:t>. En tanto que para aquellos habitantes y población flotante de</w:t>
      </w:r>
      <w:r w:rsidR="00955F89" w:rsidRPr="0087457F">
        <w:rPr>
          <w:rFonts w:ascii="Arial" w:hAnsi="Arial" w:cs="Arial"/>
          <w:sz w:val="24"/>
          <w:szCs w:val="24"/>
        </w:rPr>
        <w:t xml:space="preserve"> la Ciudad de México (CDMX) este mismo derecho es protegido por la Ley Ambiental de Protección a la Tierra en el Distrito Federal (LAPTDF) </w:t>
      </w:r>
      <w:r w:rsidR="00955F89" w:rsidRPr="0087457F">
        <w:rPr>
          <w:rFonts w:ascii="Arial" w:hAnsi="Arial" w:cs="Arial"/>
          <w:sz w:val="24"/>
          <w:szCs w:val="24"/>
        </w:rPr>
        <w:fldChar w:fldCharType="begin" w:fldLock="1"/>
      </w:r>
      <w:r w:rsidR="00955F89" w:rsidRPr="0087457F">
        <w:rPr>
          <w:rFonts w:ascii="Arial" w:hAnsi="Arial" w:cs="Arial"/>
          <w:sz w:val="24"/>
          <w:szCs w:val="24"/>
        </w:rPr>
        <w:instrText>ADDIN CSL_CITATION {"citationItems":[{"id":"ITEM-1","itemData":{"author":[{"dropping-particle":"","family":"Procuraduría Ambiental y del Ordenamiento Territorial del DF (PAOT)","given":"","non-dropping-particle":"","parse-names":false,"suffix":""}],"id":"ITEM-1","issued":{"date-parts":[["2021"]]},"title":"Ley Ambiental de Protección a la Tierra en el Distrito Federal (LAPTDF)","type":"article"},"uris":["http://www.mendeley.com/documents/?uuid=2b2de312-b5f3-4076-b275-cd97068b29ee"]}],"mendeley":{"formattedCitation":"(Procuraduría Ambiental y del Ordenamiento Territorial del DF (PAOT), 2021)","plainTextFormattedCitation":"(Procuraduría Ambiental y del Ordenamiento Territorial del DF (PAOT), 2021)","previouslyFormattedCitation":"(Procuraduría Ambiental y del Ordenamiento Territorial del DF (PAOT), 2021)"},"properties":{"noteIndex":0},"schema":"https://github.com/citation-style-language/schema/raw/master/csl-citation.json"}</w:instrText>
      </w:r>
      <w:r w:rsidR="00955F89" w:rsidRPr="0087457F">
        <w:rPr>
          <w:rFonts w:ascii="Arial" w:hAnsi="Arial" w:cs="Arial"/>
          <w:sz w:val="24"/>
          <w:szCs w:val="24"/>
        </w:rPr>
        <w:fldChar w:fldCharType="separate"/>
      </w:r>
      <w:r w:rsidR="00955F89" w:rsidRPr="0087457F">
        <w:rPr>
          <w:rFonts w:ascii="Arial" w:hAnsi="Arial" w:cs="Arial"/>
          <w:noProof/>
          <w:sz w:val="24"/>
          <w:szCs w:val="24"/>
        </w:rPr>
        <w:t>(Procuraduría Ambiental y del Ordenamiento Territorial del DF (PAOT), 2021)</w:t>
      </w:r>
      <w:r w:rsidR="00955F89" w:rsidRPr="0087457F">
        <w:rPr>
          <w:rFonts w:ascii="Arial" w:hAnsi="Arial" w:cs="Arial"/>
          <w:sz w:val="24"/>
          <w:szCs w:val="24"/>
        </w:rPr>
        <w:fldChar w:fldCharType="end"/>
      </w:r>
      <w:r w:rsidR="00955F89" w:rsidRPr="0087457F">
        <w:rPr>
          <w:rFonts w:ascii="Arial" w:hAnsi="Arial" w:cs="Arial"/>
          <w:sz w:val="24"/>
          <w:szCs w:val="24"/>
        </w:rPr>
        <w:t xml:space="preserve">, </w:t>
      </w:r>
      <w:r w:rsidR="0087457F">
        <w:rPr>
          <w:rFonts w:ascii="Arial" w:hAnsi="Arial" w:cs="Arial"/>
          <w:sz w:val="24"/>
          <w:szCs w:val="24"/>
        </w:rPr>
        <w:t xml:space="preserve">cabe mencionar que en el </w:t>
      </w:r>
      <w:r w:rsidR="00955F89" w:rsidRPr="0087457F">
        <w:rPr>
          <w:rFonts w:ascii="Arial" w:hAnsi="Arial" w:cs="Arial"/>
          <w:sz w:val="24"/>
          <w:szCs w:val="24"/>
        </w:rPr>
        <w:t xml:space="preserve">artículo 5° </w:t>
      </w:r>
      <w:r w:rsidR="0087457F">
        <w:rPr>
          <w:rFonts w:ascii="Arial" w:hAnsi="Arial" w:cs="Arial"/>
          <w:sz w:val="24"/>
          <w:szCs w:val="24"/>
        </w:rPr>
        <w:t xml:space="preserve">de esta misma ley </w:t>
      </w:r>
      <w:r w:rsidR="00955F89" w:rsidRPr="0087457F">
        <w:rPr>
          <w:rFonts w:ascii="Arial" w:hAnsi="Arial" w:cs="Arial"/>
          <w:sz w:val="24"/>
          <w:szCs w:val="24"/>
        </w:rPr>
        <w:t>establece a un área verde como “</w:t>
      </w:r>
      <w:r w:rsidR="00955F89" w:rsidRPr="009A4DB0">
        <w:rPr>
          <w:rFonts w:ascii="Arial" w:eastAsia="Arial" w:hAnsi="Arial" w:cs="Arial"/>
          <w:i/>
          <w:iCs/>
          <w:sz w:val="24"/>
          <w:szCs w:val="24"/>
        </w:rPr>
        <w:t>toda superficie cubierta por vegetación natural o inducida que se localice en la Ciudad de México</w:t>
      </w:r>
      <w:r w:rsidR="00955F89" w:rsidRPr="009A4DB0">
        <w:rPr>
          <w:rFonts w:ascii="Arial" w:eastAsia="Arial" w:hAnsi="Arial" w:cs="Arial"/>
          <w:sz w:val="24"/>
          <w:szCs w:val="24"/>
        </w:rPr>
        <w:t>”</w:t>
      </w:r>
      <w:r w:rsidR="0087457F">
        <w:rPr>
          <w:rFonts w:ascii="Arial" w:eastAsia="Arial" w:hAnsi="Arial" w:cs="Arial"/>
          <w:sz w:val="24"/>
          <w:szCs w:val="24"/>
        </w:rPr>
        <w:t>, dentro de lo cual se considera a los techos verdes como un sistema de naturación que se coloca en un inmueble.</w:t>
      </w:r>
    </w:p>
    <w:p w14:paraId="7D137F0C" w14:textId="482EE023" w:rsidR="00955F89" w:rsidRPr="009A4DB0" w:rsidRDefault="00A8247E" w:rsidP="00F22647">
      <w:pPr>
        <w:spacing w:line="360" w:lineRule="auto"/>
        <w:jc w:val="both"/>
        <w:rPr>
          <w:rFonts w:ascii="Arial" w:eastAsia="Arial" w:hAnsi="Arial" w:cs="Arial"/>
          <w:sz w:val="24"/>
          <w:szCs w:val="24"/>
        </w:rPr>
      </w:pPr>
      <w:r>
        <w:rPr>
          <w:rFonts w:ascii="Arial" w:eastAsia="Arial" w:hAnsi="Arial" w:cs="Arial"/>
          <w:sz w:val="24"/>
          <w:szCs w:val="24"/>
        </w:rPr>
        <w:t xml:space="preserve">Existe </w:t>
      </w:r>
      <w:r w:rsidR="00955F89" w:rsidRPr="009A4DB0">
        <w:rPr>
          <w:rFonts w:ascii="Arial" w:eastAsia="Arial" w:hAnsi="Arial" w:cs="Arial"/>
          <w:sz w:val="24"/>
          <w:szCs w:val="24"/>
        </w:rPr>
        <w:t>una disparidad en la distribución de estas áreas en las alcaldías de la CDMX</w:t>
      </w:r>
      <w:r>
        <w:rPr>
          <w:rFonts w:ascii="Arial" w:eastAsia="Arial" w:hAnsi="Arial" w:cs="Arial"/>
          <w:sz w:val="24"/>
          <w:szCs w:val="24"/>
        </w:rPr>
        <w:t xml:space="preserve">, según el </w:t>
      </w:r>
      <w:r w:rsidRPr="009A4DB0">
        <w:rPr>
          <w:rFonts w:ascii="Arial" w:eastAsia="Arial" w:hAnsi="Arial" w:cs="Arial"/>
          <w:sz w:val="24"/>
          <w:szCs w:val="24"/>
        </w:rPr>
        <w:t>inventario de áreas verdes de la Secretaría del Medio Ambiente de la Ciudad de México (SEDEMA), existen 7.54m</w:t>
      </w:r>
      <w:r w:rsidRPr="009A4DB0">
        <w:rPr>
          <w:rFonts w:ascii="Arial" w:eastAsia="Arial" w:hAnsi="Arial" w:cs="Arial"/>
          <w:sz w:val="24"/>
          <w:szCs w:val="24"/>
          <w:vertAlign w:val="superscript"/>
        </w:rPr>
        <w:t>2</w:t>
      </w:r>
      <w:r w:rsidRPr="009A4DB0">
        <w:rPr>
          <w:rFonts w:ascii="Arial" w:eastAsia="Arial" w:hAnsi="Arial" w:cs="Arial"/>
          <w:sz w:val="24"/>
          <w:szCs w:val="24"/>
        </w:rPr>
        <w:t>/hab.,</w:t>
      </w:r>
      <w:r w:rsidRPr="009A4DB0">
        <w:rPr>
          <w:rFonts w:ascii="Arial" w:eastAsia="Arial" w:hAnsi="Arial" w:cs="Arial"/>
          <w:sz w:val="24"/>
          <w:szCs w:val="24"/>
        </w:rPr>
        <w:fldChar w:fldCharType="begin" w:fldLock="1"/>
      </w:r>
      <w:r w:rsidRPr="009A4DB0">
        <w:rPr>
          <w:rFonts w:ascii="Arial" w:eastAsia="Arial" w:hAnsi="Arial" w:cs="Arial"/>
          <w:sz w:val="24"/>
          <w:szCs w:val="24"/>
        </w:rPr>
        <w:instrText>ADDIN CSL_CITATION {"citationItems":[{"id":"ITEM-1","itemData":{"author":[{"dropping-particle":"","family":"Secretaría del Medio Ambiente de la Ciudad de México (SEDEMA)","given":"","non-dropping-particle":"","parse-names":false,"suffix":""}],"id":"ITEM-1","issued":{"date-parts":[["2017"]]},"publisher-place":"Ciudad de México","title":"Actualización del Inventario de Áreas Verdes Urbanas de la Ciudad de México","type":"report"},"uris":["http://www.mendeley.com/documents/?uuid=c95ac25a-c553-47e4-8ea2-ffa25d63ec4c"]}],"mendeley":{"formattedCitation":"(Secretaría del Medio Ambiente de la Ciudad de México (SEDEMA), 2017)","plainTextFormattedCitation":"(Secretaría del Medio Ambiente de la Ciudad de México (SEDEMA), 2017)","previouslyFormattedCitation":"(Secretaría del Medio Ambiente de la Ciudad de México (SEDEMA), 2017)"},"properties":{"noteIndex":0},"schema":"https://github.com/citation-style-language/schema/raw/master/csl-citation.json"}</w:instrText>
      </w:r>
      <w:r w:rsidRPr="009A4DB0">
        <w:rPr>
          <w:rFonts w:ascii="Arial" w:eastAsia="Arial" w:hAnsi="Arial" w:cs="Arial"/>
          <w:sz w:val="24"/>
          <w:szCs w:val="24"/>
        </w:rPr>
        <w:fldChar w:fldCharType="separate"/>
      </w:r>
      <w:r w:rsidRPr="009A4DB0">
        <w:rPr>
          <w:rFonts w:ascii="Arial" w:eastAsia="Arial" w:hAnsi="Arial" w:cs="Arial"/>
          <w:noProof/>
          <w:sz w:val="24"/>
          <w:szCs w:val="24"/>
        </w:rPr>
        <w:t>(Secretaría del Medio Ambiente de la Ciudad de México (SEDEMA), 2017)</w:t>
      </w:r>
      <w:r w:rsidRPr="009A4DB0">
        <w:rPr>
          <w:rFonts w:ascii="Arial" w:eastAsia="Arial" w:hAnsi="Arial" w:cs="Arial"/>
          <w:sz w:val="24"/>
          <w:szCs w:val="24"/>
        </w:rPr>
        <w:fldChar w:fldCharType="end"/>
      </w:r>
      <w:r w:rsidR="00F22647">
        <w:rPr>
          <w:rFonts w:ascii="Arial" w:eastAsia="Arial" w:hAnsi="Arial" w:cs="Arial"/>
          <w:sz w:val="24"/>
          <w:szCs w:val="24"/>
        </w:rPr>
        <w:t xml:space="preserve">, la recomendación internacional es de </w:t>
      </w:r>
      <w:r w:rsidR="00F22647" w:rsidRPr="009A4DB0">
        <w:rPr>
          <w:rFonts w:ascii="Arial" w:eastAsia="Arial" w:hAnsi="Arial" w:cs="Arial"/>
          <w:sz w:val="24"/>
          <w:szCs w:val="24"/>
        </w:rPr>
        <w:t>9m</w:t>
      </w:r>
      <w:r w:rsidR="00F22647" w:rsidRPr="009A4DB0">
        <w:rPr>
          <w:rFonts w:ascii="Arial" w:eastAsia="Arial" w:hAnsi="Arial" w:cs="Arial"/>
          <w:sz w:val="24"/>
          <w:szCs w:val="24"/>
          <w:vertAlign w:val="superscript"/>
        </w:rPr>
        <w:t>2</w:t>
      </w:r>
      <w:r w:rsidR="00F22647" w:rsidRPr="009A4DB0">
        <w:rPr>
          <w:rFonts w:ascii="Arial" w:eastAsia="Arial" w:hAnsi="Arial" w:cs="Arial"/>
          <w:sz w:val="24"/>
          <w:szCs w:val="24"/>
        </w:rPr>
        <w:t>/</w:t>
      </w:r>
      <w:proofErr w:type="spellStart"/>
      <w:r w:rsidR="00F22647" w:rsidRPr="009A4DB0">
        <w:rPr>
          <w:rFonts w:ascii="Arial" w:eastAsia="Arial" w:hAnsi="Arial" w:cs="Arial"/>
          <w:sz w:val="24"/>
          <w:szCs w:val="24"/>
        </w:rPr>
        <w:t>hab</w:t>
      </w:r>
      <w:proofErr w:type="spellEnd"/>
      <w:r w:rsidR="00F22647" w:rsidRPr="009A4DB0">
        <w:rPr>
          <w:rFonts w:ascii="Arial" w:eastAsia="Arial" w:hAnsi="Arial" w:cs="Arial"/>
          <w:sz w:val="24"/>
          <w:szCs w:val="24"/>
        </w:rPr>
        <w:t>,</w:t>
      </w:r>
      <w:r w:rsidR="00F22647" w:rsidRPr="009A4DB0">
        <w:rPr>
          <w:rFonts w:ascii="Arial" w:eastAsia="Arial" w:hAnsi="Arial" w:cs="Arial"/>
          <w:sz w:val="24"/>
          <w:szCs w:val="24"/>
        </w:rPr>
        <w:fldChar w:fldCharType="begin" w:fldLock="1"/>
      </w:r>
      <w:r w:rsidR="00163D31">
        <w:rPr>
          <w:rFonts w:ascii="Arial" w:eastAsia="Arial" w:hAnsi="Arial" w:cs="Arial"/>
          <w:sz w:val="24"/>
          <w:szCs w:val="24"/>
        </w:rPr>
        <w:instrText>ADDIN CSL_CITATION {"citationItems":[{"id":"ITEM-1","itemData":{"author":[{"dropping-particle":"","family":"Organización de las Naciones Unidas (ONU)","given":"","non-dropping-particle":"","parse-names":false,"suffix":""}],"container-title":"Conferencia de las Naciones Unidas sobre la Vivienda y el Desarrollo Urbano Sostenible","id":"ITEM-1","issued":{"date-parts":[["2015"]]},"page":"1-9","publisher-place":"Nueva York","title":"Temas Hábitat III Nº 11 Espacio Público","type":"chapter"},"uris":["http://www.mendeley.com/documents/?uuid=ef0cf1a3-c233-48f2-afc1-0327f9390aa2"]}],"mendeley":{"formattedCitation":"(Organización de las Naciones Unidas (ONU), 2015)","plainTextFormattedCitation":"(Organización de las Naciones Unidas (ONU), 2015)","previouslyFormattedCitation":"(Organización de las Naciones Unidas (ONU), 2015)"},"properties":{"noteIndex":0},"schema":"https://github.com/citation-style-language/schema/raw/master/csl-citation.json"}</w:instrText>
      </w:r>
      <w:r w:rsidR="00F22647" w:rsidRPr="009A4DB0">
        <w:rPr>
          <w:rFonts w:ascii="Arial" w:eastAsia="Arial" w:hAnsi="Arial" w:cs="Arial"/>
          <w:sz w:val="24"/>
          <w:szCs w:val="24"/>
        </w:rPr>
        <w:fldChar w:fldCharType="separate"/>
      </w:r>
      <w:r w:rsidR="00F22647" w:rsidRPr="00042957">
        <w:rPr>
          <w:rFonts w:ascii="Arial" w:eastAsia="Arial" w:hAnsi="Arial" w:cs="Arial"/>
          <w:noProof/>
          <w:sz w:val="24"/>
          <w:szCs w:val="24"/>
        </w:rPr>
        <w:t>(Organización de las Naciones Unidas (ONU), 2015)</w:t>
      </w:r>
      <w:r w:rsidR="00F22647" w:rsidRPr="009A4DB0">
        <w:rPr>
          <w:rFonts w:ascii="Arial" w:eastAsia="Arial" w:hAnsi="Arial" w:cs="Arial"/>
          <w:sz w:val="24"/>
          <w:szCs w:val="24"/>
        </w:rPr>
        <w:fldChar w:fldCharType="end"/>
      </w:r>
      <w:r w:rsidR="00F22647">
        <w:rPr>
          <w:rFonts w:ascii="Arial" w:eastAsia="Arial" w:hAnsi="Arial" w:cs="Arial"/>
          <w:sz w:val="24"/>
          <w:szCs w:val="24"/>
        </w:rPr>
        <w:t xml:space="preserve"> considerando que las personas cuenten con un espacio verde a 15 minutos de distancia, caminando desde su vivienda.</w:t>
      </w:r>
      <w:r w:rsidR="000D1B60">
        <w:rPr>
          <w:rFonts w:ascii="Arial" w:eastAsia="Arial" w:hAnsi="Arial" w:cs="Arial"/>
          <w:sz w:val="24"/>
          <w:szCs w:val="24"/>
        </w:rPr>
        <w:t xml:space="preserve"> Dentro de este valor se consideran </w:t>
      </w:r>
      <w:r w:rsidR="000D1B60" w:rsidRPr="009A4DB0">
        <w:rPr>
          <w:rFonts w:ascii="Arial" w:hAnsi="Arial" w:cs="Arial"/>
          <w:sz w:val="24"/>
          <w:szCs w:val="24"/>
        </w:rPr>
        <w:t>23,511m</w:t>
      </w:r>
      <w:r w:rsidR="000D1B60" w:rsidRPr="009A4DB0">
        <w:rPr>
          <w:rFonts w:ascii="Arial" w:hAnsi="Arial" w:cs="Arial"/>
          <w:sz w:val="24"/>
          <w:szCs w:val="24"/>
          <w:vertAlign w:val="superscript"/>
        </w:rPr>
        <w:t xml:space="preserve">2 </w:t>
      </w:r>
      <w:r w:rsidR="000D1B60" w:rsidRPr="009A4DB0">
        <w:rPr>
          <w:rFonts w:ascii="Arial" w:hAnsi="Arial" w:cs="Arial"/>
          <w:sz w:val="24"/>
          <w:szCs w:val="24"/>
        </w:rPr>
        <w:t>de techos verdes distribuidos en once alcaldías.</w:t>
      </w:r>
    </w:p>
    <w:p w14:paraId="6FFDDFC0" w14:textId="6EF73734" w:rsidR="00955F89" w:rsidRDefault="00A8247E" w:rsidP="00F22647">
      <w:pPr>
        <w:spacing w:line="360" w:lineRule="auto"/>
        <w:jc w:val="both"/>
        <w:rPr>
          <w:rFonts w:ascii="Arial" w:hAnsi="Arial" w:cs="Arial"/>
          <w:sz w:val="24"/>
          <w:szCs w:val="24"/>
        </w:rPr>
      </w:pPr>
      <w:r>
        <w:rPr>
          <w:rFonts w:ascii="Arial" w:eastAsia="Arial" w:hAnsi="Arial" w:cs="Arial"/>
          <w:sz w:val="24"/>
          <w:szCs w:val="24"/>
        </w:rPr>
        <w:t xml:space="preserve">El techo verde como </w:t>
      </w:r>
      <w:r w:rsidR="00DA5DDA">
        <w:rPr>
          <w:rFonts w:ascii="Arial" w:eastAsia="Arial" w:hAnsi="Arial" w:cs="Arial"/>
          <w:sz w:val="24"/>
          <w:szCs w:val="24"/>
        </w:rPr>
        <w:t xml:space="preserve">una </w:t>
      </w:r>
      <w:r w:rsidRPr="009A4DB0">
        <w:rPr>
          <w:rFonts w:ascii="Arial" w:hAnsi="Arial" w:cs="Arial"/>
          <w:sz w:val="24"/>
          <w:szCs w:val="24"/>
        </w:rPr>
        <w:t>Soluci</w:t>
      </w:r>
      <w:r w:rsidR="00DA5DDA">
        <w:rPr>
          <w:rFonts w:ascii="Arial" w:hAnsi="Arial" w:cs="Arial"/>
          <w:sz w:val="24"/>
          <w:szCs w:val="24"/>
        </w:rPr>
        <w:t>ón</w:t>
      </w:r>
      <w:r w:rsidRPr="009A4DB0">
        <w:rPr>
          <w:rFonts w:ascii="Arial" w:hAnsi="Arial" w:cs="Arial"/>
          <w:sz w:val="24"/>
          <w:szCs w:val="24"/>
        </w:rPr>
        <w:t xml:space="preserve"> basadas en la Naturaleza (</w:t>
      </w:r>
      <w:proofErr w:type="spellStart"/>
      <w:r w:rsidRPr="009A4DB0">
        <w:rPr>
          <w:rFonts w:ascii="Arial" w:hAnsi="Arial" w:cs="Arial"/>
          <w:sz w:val="24"/>
          <w:szCs w:val="24"/>
        </w:rPr>
        <w:t>SbN</w:t>
      </w:r>
      <w:proofErr w:type="spellEnd"/>
      <w:r w:rsidRPr="009A4DB0">
        <w:rPr>
          <w:rFonts w:ascii="Arial" w:hAnsi="Arial" w:cs="Arial"/>
          <w:sz w:val="24"/>
          <w:szCs w:val="24"/>
        </w:rPr>
        <w:t xml:space="preserve">) </w:t>
      </w:r>
      <w:r>
        <w:rPr>
          <w:rFonts w:ascii="Arial" w:hAnsi="Arial" w:cs="Arial"/>
          <w:sz w:val="24"/>
          <w:szCs w:val="24"/>
        </w:rPr>
        <w:t>es u</w:t>
      </w:r>
      <w:r w:rsidR="00955F89" w:rsidRPr="009A4DB0">
        <w:rPr>
          <w:rFonts w:ascii="Arial" w:eastAsia="Arial" w:hAnsi="Arial" w:cs="Arial"/>
          <w:sz w:val="24"/>
          <w:szCs w:val="24"/>
        </w:rPr>
        <w:t xml:space="preserve">na estrategia para recuperar servicios ecosistémicos en </w:t>
      </w:r>
      <w:r w:rsidR="00DA5DDA">
        <w:rPr>
          <w:rFonts w:ascii="Arial" w:eastAsia="Arial" w:hAnsi="Arial" w:cs="Arial"/>
          <w:sz w:val="24"/>
          <w:szCs w:val="24"/>
        </w:rPr>
        <w:t xml:space="preserve">las </w:t>
      </w:r>
      <w:r w:rsidR="00955F89" w:rsidRPr="009A4DB0">
        <w:rPr>
          <w:rFonts w:ascii="Arial" w:eastAsia="Arial" w:hAnsi="Arial" w:cs="Arial"/>
          <w:sz w:val="24"/>
          <w:szCs w:val="24"/>
        </w:rPr>
        <w:t>ciudades</w:t>
      </w:r>
      <w:r>
        <w:rPr>
          <w:rFonts w:ascii="Arial" w:eastAsia="Arial" w:hAnsi="Arial" w:cs="Arial"/>
          <w:sz w:val="24"/>
          <w:szCs w:val="24"/>
        </w:rPr>
        <w:t xml:space="preserve">, de esta forma se fomenta recuperar las condiciones propicias del </w:t>
      </w:r>
      <w:r w:rsidR="00955F89" w:rsidRPr="009A4DB0">
        <w:rPr>
          <w:rFonts w:ascii="Arial" w:hAnsi="Arial" w:cs="Arial"/>
          <w:sz w:val="24"/>
          <w:szCs w:val="24"/>
        </w:rPr>
        <w:t xml:space="preserve">clima, desarrollo y biodiversidad para que la flora y fauna se preserve e incremente. </w:t>
      </w:r>
      <w:r w:rsidR="00180C02">
        <w:rPr>
          <w:rFonts w:ascii="Arial" w:hAnsi="Arial" w:cs="Arial"/>
          <w:sz w:val="24"/>
          <w:szCs w:val="24"/>
        </w:rPr>
        <w:t>Algunos de los benefi</w:t>
      </w:r>
      <w:r w:rsidR="00955F89" w:rsidRPr="009A4DB0">
        <w:rPr>
          <w:rFonts w:ascii="Arial" w:hAnsi="Arial" w:cs="Arial"/>
          <w:sz w:val="24"/>
          <w:szCs w:val="24"/>
        </w:rPr>
        <w:t xml:space="preserve">cios </w:t>
      </w:r>
      <w:r w:rsidR="00180C02">
        <w:rPr>
          <w:rFonts w:ascii="Arial" w:hAnsi="Arial" w:cs="Arial"/>
          <w:sz w:val="24"/>
          <w:szCs w:val="24"/>
        </w:rPr>
        <w:t xml:space="preserve">que se pueden recibir a partir de las </w:t>
      </w:r>
      <w:proofErr w:type="spellStart"/>
      <w:r w:rsidR="00180C02">
        <w:rPr>
          <w:rFonts w:ascii="Arial" w:hAnsi="Arial" w:cs="Arial"/>
          <w:sz w:val="24"/>
          <w:szCs w:val="24"/>
        </w:rPr>
        <w:t>SbN</w:t>
      </w:r>
      <w:proofErr w:type="spellEnd"/>
      <w:r w:rsidR="00180C02">
        <w:rPr>
          <w:rFonts w:ascii="Arial" w:hAnsi="Arial" w:cs="Arial"/>
          <w:sz w:val="24"/>
          <w:szCs w:val="24"/>
        </w:rPr>
        <w:t xml:space="preserve"> son la </w:t>
      </w:r>
      <w:r w:rsidR="00955F89" w:rsidRPr="009A4DB0">
        <w:rPr>
          <w:rFonts w:ascii="Arial" w:hAnsi="Arial" w:cs="Arial"/>
          <w:sz w:val="24"/>
          <w:szCs w:val="24"/>
        </w:rPr>
        <w:t>mitiga</w:t>
      </w:r>
      <w:r w:rsidR="00180C02">
        <w:rPr>
          <w:rFonts w:ascii="Arial" w:hAnsi="Arial" w:cs="Arial"/>
          <w:sz w:val="24"/>
          <w:szCs w:val="24"/>
        </w:rPr>
        <w:t>ción de</w:t>
      </w:r>
      <w:r w:rsidR="00955F89" w:rsidRPr="009A4DB0">
        <w:rPr>
          <w:rFonts w:ascii="Arial" w:hAnsi="Arial" w:cs="Arial"/>
          <w:sz w:val="24"/>
          <w:szCs w:val="24"/>
        </w:rPr>
        <w:t xml:space="preserve"> los efectos del cambio climático, mejorar la salud física y mental </w:t>
      </w:r>
      <w:r w:rsidR="00180C02">
        <w:rPr>
          <w:rFonts w:ascii="Arial" w:hAnsi="Arial" w:cs="Arial"/>
          <w:sz w:val="24"/>
          <w:szCs w:val="24"/>
        </w:rPr>
        <w:t xml:space="preserve">de los seres humanos, y mejorar los elementos del ambiente: </w:t>
      </w:r>
      <w:r w:rsidR="00955F89" w:rsidRPr="009A4DB0">
        <w:rPr>
          <w:rFonts w:ascii="Arial" w:hAnsi="Arial" w:cs="Arial"/>
          <w:sz w:val="24"/>
          <w:szCs w:val="24"/>
        </w:rPr>
        <w:t>agua, aire y suelo</w:t>
      </w:r>
      <w:r w:rsidR="00955F89" w:rsidRPr="009A4DB0">
        <w:rPr>
          <w:rFonts w:ascii="Arial" w:hAnsi="Arial" w:cs="Arial"/>
          <w:sz w:val="24"/>
          <w:szCs w:val="24"/>
        </w:rPr>
        <w:fldChar w:fldCharType="begin" w:fldLock="1"/>
      </w:r>
      <w:r w:rsidR="00955F89" w:rsidRPr="009A4DB0">
        <w:rPr>
          <w:rFonts w:ascii="Arial" w:hAnsi="Arial" w:cs="Arial"/>
          <w:sz w:val="24"/>
          <w:szCs w:val="24"/>
        </w:rPr>
        <w:instrText>ADDIN CSL_CITATION {"citationItems":[{"id":"ITEM-1","itemData":{"ISBN":"9782831718125","abstract":"Nature-based Solutions (NbS) are defined by IUCN as actions to protect, sustainably manage and restore natural or modified ecosystems, which address societal challenges (e.g. climate change, food and water security or natural disasters) effectively and adaptively, while simultaneously providing human well-being and biodiversity benefits. The NbS concept, as used in environmental sciences and nature conservation contexts, has emerged within the last decade or so, as international organisations search for ways to work with ecosystems – rather than relying on conventional engineering solutions (such as seawalls) – to adapt to and mitigate climate change effects, while improving sustainable livelihoods and protecting natural ecosystems and biodiversity. NbS is a relatively ‘young’ concept, still in the process of being framed. There is a need now to deepen our understanding of NbS and confirm the principles upon which NbS is based, in order to move towards an operational framework that can guide applications of the NbS concept. The following set of NbS principles are proposed. Nature-based Solutions: 1. embrace nature conservation norms (and principles); 2. can be implemented alone or in an integrated manner with other solutions to societal challenges (e.g. technological and engineering solutions); 3. are determined by site-specific natural and cultural contexts that include traditional, local and scientific knowledge; 4. produce societal benefits in a fair and equitable way, in a manner that promotes transparency and broad participation; 5. maintain biological and cultural diversity and the ability of ecosystems to evolve over time; 6. are applied at the scale at a landscape; 7. recognise and address the trade-offs between the production of a few immediate economic benefits for development, and future options for the production of the full range of ecosystems services; 8. are an integral part of the overall design of policies, and measures or actions, to address a specific challenge. NbS is best considered an umbrella concept that covers a range of different approaches. These approaches have emerged from a variety of spheres (some from the scientific research domain, others from practice or policy contexts) but share a common focus on ecosystem services and aim to address societal challenges. These NbS approaches can be classified into: (i) ecosystem restoration approaches (e.g. ecological restoration, ecological engineering and forest landscape restoratio…","author":[{"dropping-particle":"","family":"International Union for Conservation of Nature (IUCN)","given":"","non-dropping-particle":"","parse-names":false,"suffix":""}],"container-title":"Nature-based solutions to address global societal challenges","id":"ITEM-1","issued":{"date-parts":[["2016"]]},"number-of-pages":"1-32","title":"What are Nature-based Solutions?","type":"book"},"uris":["http://www.mendeley.com/documents/?uuid=15f1a30f-3250-4e31-9398-69fc1a893da8"]},{"id":"ITEM-2","itemData":{"URL":"https://www.iucn.org/regions/europe/our-work/nature-based-solutions","accessed":{"date-parts":[["2020","9","30"]]},"author":[{"dropping-particle":"","family":"International Union for Conservation of Nature (IUCN)","given":"","non-dropping-particle":"","parse-names":false,"suffix":""}],"container-title":"Nature-based solutions","id":"ITEM-2","issued":{"date-parts":[["2017"]]},"title":"IUCN European Work Programme 2017-2020","type":"webpage"},"uris":["http://www.mendeley.com/documents/?uuid=77864542-1710-4c29-a0d3-0b3ec4a84512"]}],"mendeley":{"formattedCitation":"(International Union for Conservation of Nature (IUCN), 2016, 2017)","plainTextFormattedCitation":"(International Union for Conservation of Nature (IUCN), 2016, 2017)","previouslyFormattedCitation":"(International Union for Conservation of Nature (IUCN), 2016, 2017)"},"properties":{"noteIndex":0},"schema":"https://github.com/citation-style-language/schema/raw/master/csl-citation.json"}</w:instrText>
      </w:r>
      <w:r w:rsidR="00955F89" w:rsidRPr="009A4DB0">
        <w:rPr>
          <w:rFonts w:ascii="Arial" w:hAnsi="Arial" w:cs="Arial"/>
          <w:sz w:val="24"/>
          <w:szCs w:val="24"/>
        </w:rPr>
        <w:fldChar w:fldCharType="separate"/>
      </w:r>
      <w:r w:rsidR="00955F89" w:rsidRPr="009A4DB0">
        <w:rPr>
          <w:rFonts w:ascii="Arial" w:hAnsi="Arial" w:cs="Arial"/>
          <w:noProof/>
          <w:sz w:val="24"/>
          <w:szCs w:val="24"/>
        </w:rPr>
        <w:t>(International Union for Conservation of Nature (IUCN), 2016, 2017)</w:t>
      </w:r>
      <w:r w:rsidR="00955F89" w:rsidRPr="009A4DB0">
        <w:rPr>
          <w:rFonts w:ascii="Arial" w:hAnsi="Arial" w:cs="Arial"/>
          <w:sz w:val="24"/>
          <w:szCs w:val="24"/>
        </w:rPr>
        <w:fldChar w:fldCharType="end"/>
      </w:r>
      <w:r w:rsidR="00955F89" w:rsidRPr="009A4DB0">
        <w:rPr>
          <w:rFonts w:ascii="Arial" w:hAnsi="Arial" w:cs="Arial"/>
          <w:sz w:val="24"/>
          <w:szCs w:val="24"/>
        </w:rPr>
        <w:t xml:space="preserve">. </w:t>
      </w:r>
    </w:p>
    <w:p w14:paraId="330555E3" w14:textId="36EEE70C" w:rsidR="00C53FC3" w:rsidRDefault="00DA5DDA" w:rsidP="00C53FC3">
      <w:pPr>
        <w:spacing w:line="360" w:lineRule="auto"/>
        <w:jc w:val="both"/>
        <w:rPr>
          <w:rFonts w:ascii="Arial" w:hAnsi="Arial" w:cs="Arial"/>
          <w:sz w:val="24"/>
          <w:szCs w:val="24"/>
        </w:rPr>
      </w:pPr>
      <w:r>
        <w:rPr>
          <w:rFonts w:ascii="Arial" w:hAnsi="Arial" w:cs="Arial"/>
          <w:sz w:val="24"/>
          <w:szCs w:val="24"/>
        </w:rPr>
        <w:t>L</w:t>
      </w:r>
      <w:r w:rsidR="00955F89" w:rsidRPr="009A4DB0">
        <w:rPr>
          <w:rFonts w:ascii="Arial" w:hAnsi="Arial" w:cs="Arial"/>
          <w:sz w:val="24"/>
          <w:szCs w:val="24"/>
        </w:rPr>
        <w:t>a estructura de los techos verdes</w:t>
      </w:r>
      <w:r>
        <w:rPr>
          <w:rFonts w:ascii="Arial" w:hAnsi="Arial" w:cs="Arial"/>
          <w:sz w:val="24"/>
          <w:szCs w:val="24"/>
        </w:rPr>
        <w:t xml:space="preserve"> convencional</w:t>
      </w:r>
      <w:r w:rsidR="004039ED">
        <w:rPr>
          <w:rFonts w:ascii="Arial" w:hAnsi="Arial" w:cs="Arial"/>
          <w:sz w:val="24"/>
          <w:szCs w:val="24"/>
        </w:rPr>
        <w:t xml:space="preserve">es </w:t>
      </w:r>
      <w:r w:rsidR="00955F89" w:rsidRPr="009A4DB0">
        <w:rPr>
          <w:rFonts w:ascii="Arial" w:hAnsi="Arial" w:cs="Arial"/>
          <w:sz w:val="24"/>
          <w:szCs w:val="24"/>
        </w:rPr>
        <w:t xml:space="preserve">se conforma por cinco capas </w:t>
      </w:r>
      <w:r w:rsidR="00955F89" w:rsidRPr="009A4DB0">
        <w:rPr>
          <w:rFonts w:ascii="Arial" w:hAnsi="Arial" w:cs="Arial"/>
          <w:sz w:val="24"/>
          <w:szCs w:val="24"/>
        </w:rPr>
        <w:fldChar w:fldCharType="begin" w:fldLock="1"/>
      </w:r>
      <w:r w:rsidR="00955F89" w:rsidRPr="009A4DB0">
        <w:rPr>
          <w:rFonts w:ascii="Arial" w:hAnsi="Arial" w:cs="Arial"/>
          <w:sz w:val="24"/>
          <w:szCs w:val="24"/>
        </w:rPr>
        <w:instrText>ADDIN CSL_CITATION {"citationItems":[{"id":"ITEM-1","itemData":{"DOI":"10.1641/b571005","ISSN":"0006-3568","abstract":"Green roofs (roofs with a vegetated surface and substrate) provide ecosystem services in urban areas, including improved storm-water management, better regulation of building temperatures, reduced urban heat-island effects, and increased urban wildlife habitat. This article reviews the evidence for these benefits and examines the biotic and abiotic components that contribute to overall ecosystem services. We emphasize the potential for improving green-roof function by understanding the interactions between its ecosystem elements, especially the relationships among growing media, soil biota, and vegetation, and the interactions between community structure and ecosystem functioning. Further research into green-roof technology should assess the efficacy of green roofs compared to other technologies with similar ends, and ultimately focus on estimates of aggregate benefits at landscape scales and on more holistic cost-benefit analyses.","author":[{"dropping-particle":"","family":"Oberndorfer","given":"Erica","non-dropping-particle":"","parse-names":false,"suffix":""},{"dropping-particle":"","family":"Lundholm","given":"Jeremy","non-dropping-particle":"","parse-names":false,"suffix":""},{"dropping-particle":"","family":"Bass","given":"Brad","non-dropping-particle":"","parse-names":false,"suffix":""},{"dropping-particle":"","family":"Coffman","given":"Reid R.","non-dropping-particle":"","parse-names":false,"suffix":""},{"dropping-particle":"","family":"Doshi","given":"Hitesh","non-dropping-particle":"","parse-names":false,"suffix":""},{"dropping-particle":"","family":"Dunnett","given":"Nigel","non-dropping-particle":"","parse-names":false,"suffix":""},{"dropping-particle":"","family":"Gaffin","given":"Stuart","non-dropping-particle":"","parse-names":false,"suffix":""},{"dropping-particle":"","family":"Köhler","given":"Manfred","non-dropping-particle":"","parse-names":false,"suffix":""},{"dropping-particle":"","family":"Liu","given":"Karen K. Y.","non-dropping-particle":"","parse-names":false,"suffix":""},{"dropping-particle":"","family":"Rowe","given":"Bradley","non-dropping-particle":"","parse-names":false,"suffix":""}],"container-title":"BioScience","id":"ITEM-1","issue":"10","issued":{"date-parts":[["2007"]]},"page":"823-833","title":"Green Roofs as Urban Ecosystems: Ecological Structures, Functions, and Services","type":"article-journal","volume":"57"},"uris":["http://www.mendeley.com/documents/?uuid=dcda3a2e-f6c8-45ba-9179-949c407c5514"]}],"mendeley":{"formattedCitation":"(Oberndorfer et al., 2007)","plainTextFormattedCitation":"(Oberndorfer et al., 2007)","previouslyFormattedCitation":"(Oberndorfer et al., 2007)"},"properties":{"noteIndex":0},"schema":"https://github.com/citation-style-language/schema/raw/master/csl-citation.json"}</w:instrText>
      </w:r>
      <w:r w:rsidR="00955F89" w:rsidRPr="009A4DB0">
        <w:rPr>
          <w:rFonts w:ascii="Arial" w:hAnsi="Arial" w:cs="Arial"/>
          <w:sz w:val="24"/>
          <w:szCs w:val="24"/>
        </w:rPr>
        <w:fldChar w:fldCharType="separate"/>
      </w:r>
      <w:r w:rsidR="00955F89" w:rsidRPr="009A4DB0">
        <w:rPr>
          <w:rFonts w:ascii="Arial" w:hAnsi="Arial" w:cs="Arial"/>
          <w:noProof/>
          <w:sz w:val="24"/>
          <w:szCs w:val="24"/>
        </w:rPr>
        <w:t>(Oberndorfer et al., 2007)</w:t>
      </w:r>
      <w:r w:rsidR="00955F89" w:rsidRPr="009A4DB0">
        <w:rPr>
          <w:rFonts w:ascii="Arial" w:hAnsi="Arial" w:cs="Arial"/>
          <w:sz w:val="24"/>
          <w:szCs w:val="24"/>
        </w:rPr>
        <w:fldChar w:fldCharType="end"/>
      </w:r>
      <w:r w:rsidR="004039ED">
        <w:rPr>
          <w:rFonts w:ascii="Arial" w:hAnsi="Arial" w:cs="Arial"/>
          <w:sz w:val="24"/>
          <w:szCs w:val="24"/>
        </w:rPr>
        <w:t xml:space="preserve"> cuyas funciones principalmente son evitar que se dañe la estructura del inmueble por el agua y la penetración de las raíces al mismo. Las capas </w:t>
      </w:r>
      <w:r w:rsidR="00C53FC3">
        <w:rPr>
          <w:rFonts w:ascii="Arial" w:hAnsi="Arial" w:cs="Arial"/>
          <w:sz w:val="24"/>
          <w:szCs w:val="24"/>
        </w:rPr>
        <w:t xml:space="preserve">en orden desde la base del techo </w:t>
      </w:r>
      <w:r w:rsidR="004039ED">
        <w:rPr>
          <w:rFonts w:ascii="Arial" w:hAnsi="Arial" w:cs="Arial"/>
          <w:sz w:val="24"/>
          <w:szCs w:val="24"/>
        </w:rPr>
        <w:t>son</w:t>
      </w:r>
      <w:r w:rsidR="00955F89" w:rsidRPr="009A4DB0">
        <w:rPr>
          <w:rFonts w:ascii="Arial" w:hAnsi="Arial" w:cs="Arial"/>
          <w:sz w:val="24"/>
          <w:szCs w:val="24"/>
        </w:rPr>
        <w:t xml:space="preserve">: membrana impermeabilizante con </w:t>
      </w:r>
      <w:proofErr w:type="spellStart"/>
      <w:r w:rsidR="00955F89" w:rsidRPr="009A4DB0">
        <w:rPr>
          <w:rFonts w:ascii="Arial" w:hAnsi="Arial" w:cs="Arial"/>
          <w:sz w:val="24"/>
          <w:szCs w:val="24"/>
        </w:rPr>
        <w:t>anti-</w:t>
      </w:r>
      <w:r w:rsidR="00955F89" w:rsidRPr="009A4DB0">
        <w:rPr>
          <w:rFonts w:ascii="Arial" w:hAnsi="Arial" w:cs="Arial"/>
          <w:sz w:val="24"/>
          <w:szCs w:val="24"/>
        </w:rPr>
        <w:lastRenderedPageBreak/>
        <w:t>raíz</w:t>
      </w:r>
      <w:proofErr w:type="spellEnd"/>
      <w:r w:rsidR="00955F89" w:rsidRPr="009A4DB0">
        <w:rPr>
          <w:rFonts w:ascii="Arial" w:hAnsi="Arial" w:cs="Arial"/>
          <w:sz w:val="24"/>
          <w:szCs w:val="24"/>
        </w:rPr>
        <w:t>, la capa filtrante</w:t>
      </w:r>
      <w:r w:rsidR="00C53FC3">
        <w:rPr>
          <w:rFonts w:ascii="Arial" w:hAnsi="Arial" w:cs="Arial"/>
          <w:sz w:val="24"/>
          <w:szCs w:val="24"/>
        </w:rPr>
        <w:t>, la capa drenante. L</w:t>
      </w:r>
      <w:r w:rsidR="00955F89" w:rsidRPr="009A4DB0">
        <w:rPr>
          <w:rFonts w:ascii="Arial" w:hAnsi="Arial" w:cs="Arial"/>
          <w:sz w:val="24"/>
          <w:szCs w:val="24"/>
        </w:rPr>
        <w:t xml:space="preserve">as últimas dos capas son el sustrato y la vegetación la cual se recomienda sea compuesta por plantas del género Sedum de la Familia </w:t>
      </w:r>
      <w:proofErr w:type="spellStart"/>
      <w:r w:rsidR="00955F89" w:rsidRPr="009A4DB0">
        <w:rPr>
          <w:rFonts w:ascii="Arial" w:hAnsi="Arial" w:cs="Arial"/>
          <w:i/>
          <w:iCs/>
          <w:sz w:val="24"/>
          <w:szCs w:val="24"/>
        </w:rPr>
        <w:t>Crassulaceae</w:t>
      </w:r>
      <w:proofErr w:type="spellEnd"/>
      <w:r w:rsidR="00955F89" w:rsidRPr="009A4DB0">
        <w:rPr>
          <w:rFonts w:ascii="Arial" w:hAnsi="Arial" w:cs="Arial"/>
          <w:i/>
          <w:iCs/>
          <w:sz w:val="24"/>
          <w:szCs w:val="24"/>
        </w:rPr>
        <w:t xml:space="preserve"> </w:t>
      </w:r>
      <w:r w:rsidR="00955F89" w:rsidRPr="009A4DB0">
        <w:rPr>
          <w:rFonts w:ascii="Arial" w:hAnsi="Arial" w:cs="Arial"/>
          <w:i/>
          <w:iCs/>
          <w:sz w:val="24"/>
          <w:szCs w:val="24"/>
        </w:rPr>
        <w:fldChar w:fldCharType="begin" w:fldLock="1"/>
      </w:r>
      <w:r w:rsidR="00163D31">
        <w:rPr>
          <w:rFonts w:ascii="Arial" w:hAnsi="Arial" w:cs="Arial"/>
          <w:i/>
          <w:iCs/>
          <w:sz w:val="24"/>
          <w:szCs w:val="24"/>
        </w:rPr>
        <w:instrText>ADDIN CSL_CITATION {"citationItems":[{"id":"ITEM-1","itemData":{"DOI":"10.1016/j.ufug.2019.01.020","ISSN":"16108167","abstract":"Green roofs are often used to cool and insulate the buildings below them, but there is a lack of information about optimum design of green roofs to achieve this function in Mediterranean climates. In such climates, the cooling effect of green roofs can also be important on warm days during the winter. In this study, we compared temperatures of non-green roofs, green roofs planted with Sedum sediforme (Jacq.) Pau, and green roofs planted with the same density of Sedum together with annual plants. These plants were chosen because annual plant communities are an important part of semi-arid environments, which are analogous to green roofs. Temperatures were measured below green roof plots and in the substrate. We found that temperatures below green roofs were around 7 °C cooler than below non-green roofs, and that temperatures below Sedum roofs were, in general, 1.5 °C cooler than below annuals + Sedum roofs. The difference in temperatures between green roofs types was seen in summer in the substrate and in winter below the roof. Substrate moisture was higher in Sedum roofs in the summer. Vegetation cover was higher in annuals + Sedum roofs in winter and in Sedum roofs in summer, as Sedum grown alone grew more than Sedum grown with annuals. Overall, Sedum roofs appear to be more effective in providing cooling benefits in this climate, due to higher substrate moisture and vegetation cover in the summer. Thus, to achieve the cooling benefits of an extensive green roof in a Mediterranean climate, it may be prudent to use succulent species alone, without annuals that would compete with Sedum in winter, while not providing a cooling effect in summer.","author":[{"dropping-particle":"","family":"Schindler","given":"Bracha Y.","non-dropping-particle":"","parse-names":false,"suffix":""},{"dropping-particle":"","family":"Blaustein","given":"Leon","non-dropping-particle":"","parse-names":false,"suffix":""},{"dropping-particle":"","family":"Vasl","given":"Amiel","non-dropping-particle":"","parse-names":false,"suffix":""},{"dropping-particle":"","family":"Kadas","given":"Gyongyver J.","non-dropping-particle":"","parse-names":false,"suffix":""},{"dropping-particle":"","family":"Seifan","given":"Merav","non-dropping-particle":"","parse-names":false,"suffix":""}],"container-title":"Urban Forestry and Urban Greening","id":"ITEM-1","issue":"January","issued":{"date-parts":[["2019"]]},"page":"392-396","title":"Cooling effect of Sedum sediforme and annual plants on green roofs in a Mediterranean climate","type":"article-journal","volume":"38"},"uris":["http://www.mendeley.com/documents/?uuid=81d2e930-e83b-4bce-8683-b4a5f4c4ba0d"]},{"id":"ITEM-2","itemData":{"author":[{"dropping-particle":"","family":"Dvorak","given":"Bruce D","non-dropping-particle":"","parse-names":false,"suffix":""},{"dropping-particle":"","family":"Volder","given":"Astrid","non-dropping-particle":"","parse-names":false,"suffix":""}],"container-title":"CELA","id":"ITEM-2","issue":"Urban Nature","issued":{"date-parts":[["2011"]]},"publisher-place":"Los Angeles","title":"Green Roof Plants: Strategies for Success","type":"paper-conference"},"uris":["http://www.mendeley.com/documents/?uuid=ecfce842-1419-4fb7-ac51-43ec2f3375ac"]},{"id":"ITEM-3","itemData":{"DOI":"10.1016/j.biosystemseng.2014.05.007","ISSN":"15375110","abstract":"Inorganic substrates are used as the primary component in green roof growing media because they can provide the desired physical properties and are thought to be physically, chemically and structurally stable over time. Inorganic substrates can be amended with organic matter to help establish vegetation on green roofs but there is little information on how this affects the physical properties; dry bulk density, water holding capacity and air filled porosity; of the resulting growing medium or whether the effects are the same for all inorganic substrates. Nine crushed brick and three crushed tile substrates obtained from five UK suppliers of aggregates were amended with 30% v/v composted green waste. The physical properties of the substrates and growing media mixes were determined using the gravitational drainage technique. Amending the inorganic substrates with composted green waste significantly improved the physical properties by reducing the dry bulk density and increasing the water holding capacity. Air filled porosity of inorganic substrates decreased with addition of fine composted green waste but aeration was always adequate for plant growth and survival. This provides evidence of the beneficial effects of inclusion of composted green waste on the physical properties of inorganic substrates for green roof growing media but highlights the fact that the responses to inclusion of composted green waste may be different for different inorganic substrates or grades of substrate. © 2014 IAgrE.","author":[{"dropping-particle":"","family":"Graceson","given":"Abigail","non-dropping-particle":"","parse-names":false,"suffix":""},{"dropping-particle":"","family":"Hare","given":"Martin","non-dropping-particle":"","parse-names":false,"suffix":""},{"dropping-particle":"","family":"Hall","given":"Nigel","non-dropping-particle":"","parse-names":false,"suffix":""},{"dropping-particle":"","family":"Monaghan","given":"Jim","non-dropping-particle":"","parse-names":false,"suffix":""}],"container-title":"Biosystems Engineering","id":"ITEM-3","issue":"0","issued":{"date-parts":[["2014"]]},"page":"1-7","publisher":"Elsevier Ltd","title":"Use of inorganic substrates and composted green waste in growing media for green roofs","type":"article-journal","volume":"124"},"uris":["http://www.mendeley.com/documents/?uuid=670f936b-19d1-4e41-8b09-64abd98552e7"]}],"mendeley":{"formattedCitation":"(Dvorak &amp; Volder, 2011; Graceson et al., 2014; Schindler et al., 2019)","plainTextFormattedCitation":"(Dvorak &amp; Volder, 2011; Graceson et al., 2014; Schindler et al., 2019)","previouslyFormattedCitation":"(Dvorak &amp; Volder, 2011; Graceson et al., 2014; Schindler et al., 2019)"},"properties":{"noteIndex":0},"schema":"https://github.com/citation-style-language/schema/raw/master/csl-citation.json"}</w:instrText>
      </w:r>
      <w:r w:rsidR="00955F89" w:rsidRPr="009A4DB0">
        <w:rPr>
          <w:rFonts w:ascii="Arial" w:hAnsi="Arial" w:cs="Arial"/>
          <w:i/>
          <w:iCs/>
          <w:sz w:val="24"/>
          <w:szCs w:val="24"/>
        </w:rPr>
        <w:fldChar w:fldCharType="separate"/>
      </w:r>
      <w:r w:rsidR="00042957" w:rsidRPr="00042957">
        <w:rPr>
          <w:rFonts w:ascii="Arial" w:hAnsi="Arial" w:cs="Arial"/>
          <w:iCs/>
          <w:noProof/>
          <w:sz w:val="24"/>
          <w:szCs w:val="24"/>
        </w:rPr>
        <w:t>(Dvorak &amp; Volder, 2011; Graceson et al., 2014; Schindler et al., 2019)</w:t>
      </w:r>
      <w:r w:rsidR="00955F89" w:rsidRPr="009A4DB0">
        <w:rPr>
          <w:rFonts w:ascii="Arial" w:hAnsi="Arial" w:cs="Arial"/>
          <w:i/>
          <w:iCs/>
          <w:sz w:val="24"/>
          <w:szCs w:val="24"/>
        </w:rPr>
        <w:fldChar w:fldCharType="end"/>
      </w:r>
      <w:r w:rsidR="00C53FC3">
        <w:rPr>
          <w:rFonts w:ascii="Arial" w:hAnsi="Arial" w:cs="Arial"/>
          <w:i/>
          <w:iCs/>
          <w:sz w:val="24"/>
          <w:szCs w:val="24"/>
        </w:rPr>
        <w:t xml:space="preserve">, </w:t>
      </w:r>
      <w:r w:rsidR="00C53FC3" w:rsidRPr="00C53FC3">
        <w:rPr>
          <w:rFonts w:ascii="Arial" w:hAnsi="Arial" w:cs="Arial"/>
          <w:sz w:val="24"/>
          <w:szCs w:val="24"/>
        </w:rPr>
        <w:t>estas dos son las responsables de la mayoría de los beneficios que genera un techo verde</w:t>
      </w:r>
      <w:r w:rsidR="00955F89" w:rsidRPr="009A4DB0">
        <w:rPr>
          <w:rFonts w:ascii="Arial" w:hAnsi="Arial" w:cs="Arial"/>
          <w:sz w:val="24"/>
          <w:szCs w:val="24"/>
        </w:rPr>
        <w:t>.</w:t>
      </w:r>
      <w:r w:rsidR="00C53FC3">
        <w:rPr>
          <w:rFonts w:ascii="Arial" w:hAnsi="Arial" w:cs="Arial"/>
          <w:sz w:val="24"/>
          <w:szCs w:val="24"/>
        </w:rPr>
        <w:t xml:space="preserve"> </w:t>
      </w:r>
      <w:r w:rsidR="00955F89" w:rsidRPr="009A4DB0">
        <w:rPr>
          <w:rFonts w:ascii="Arial" w:hAnsi="Arial" w:cs="Arial"/>
          <w:sz w:val="24"/>
          <w:szCs w:val="24"/>
        </w:rPr>
        <w:t xml:space="preserve">Algunos </w:t>
      </w:r>
      <w:r w:rsidR="00C53FC3">
        <w:rPr>
          <w:rFonts w:ascii="Arial" w:hAnsi="Arial" w:cs="Arial"/>
          <w:sz w:val="24"/>
          <w:szCs w:val="24"/>
        </w:rPr>
        <w:t>estos</w:t>
      </w:r>
      <w:r w:rsidR="00955F89" w:rsidRPr="009A4DB0">
        <w:rPr>
          <w:rFonts w:ascii="Arial" w:hAnsi="Arial" w:cs="Arial"/>
          <w:sz w:val="24"/>
          <w:szCs w:val="24"/>
        </w:rPr>
        <w:t xml:space="preserve"> beneficios producidos</w:t>
      </w:r>
      <w:r w:rsidR="00C53FC3">
        <w:rPr>
          <w:rFonts w:ascii="Arial" w:hAnsi="Arial" w:cs="Arial"/>
          <w:sz w:val="24"/>
          <w:szCs w:val="24"/>
        </w:rPr>
        <w:t xml:space="preserve"> son:</w:t>
      </w:r>
    </w:p>
    <w:p w14:paraId="15792D16" w14:textId="3825E275" w:rsidR="00C53FC3" w:rsidRDefault="00C53FC3" w:rsidP="00C53FC3">
      <w:pPr>
        <w:pStyle w:val="Prrafodelista"/>
        <w:numPr>
          <w:ilvl w:val="0"/>
          <w:numId w:val="7"/>
        </w:numPr>
        <w:spacing w:line="360" w:lineRule="auto"/>
        <w:jc w:val="both"/>
        <w:rPr>
          <w:rFonts w:ascii="Arial" w:hAnsi="Arial" w:cs="Arial"/>
          <w:sz w:val="24"/>
          <w:szCs w:val="24"/>
        </w:rPr>
      </w:pPr>
      <w:proofErr w:type="spellStart"/>
      <w:r>
        <w:rPr>
          <w:rFonts w:ascii="Arial" w:hAnsi="Arial" w:cs="Arial"/>
          <w:sz w:val="24"/>
          <w:szCs w:val="24"/>
        </w:rPr>
        <w:t>A</w:t>
      </w:r>
      <w:r w:rsidR="00955F89" w:rsidRPr="00C53FC3">
        <w:rPr>
          <w:rFonts w:ascii="Arial" w:hAnsi="Arial" w:cs="Arial"/>
          <w:sz w:val="24"/>
          <w:szCs w:val="24"/>
        </w:rPr>
        <w:t>islamiento</w:t>
      </w:r>
      <w:proofErr w:type="spellEnd"/>
      <w:r w:rsidR="00955F89" w:rsidRPr="00C53FC3">
        <w:rPr>
          <w:rFonts w:ascii="Arial" w:hAnsi="Arial" w:cs="Arial"/>
          <w:sz w:val="24"/>
          <w:szCs w:val="24"/>
        </w:rPr>
        <w:t xml:space="preserve"> de </w:t>
      </w:r>
      <w:proofErr w:type="spellStart"/>
      <w:r w:rsidR="00955F89" w:rsidRPr="00C53FC3">
        <w:rPr>
          <w:rFonts w:ascii="Arial" w:hAnsi="Arial" w:cs="Arial"/>
          <w:sz w:val="24"/>
          <w:szCs w:val="24"/>
        </w:rPr>
        <w:t>temperatura</w:t>
      </w:r>
      <w:proofErr w:type="spellEnd"/>
      <w:r w:rsidR="00955F89" w:rsidRPr="00C53FC3">
        <w:rPr>
          <w:rFonts w:ascii="Arial" w:hAnsi="Arial" w:cs="Arial"/>
          <w:sz w:val="24"/>
          <w:szCs w:val="24"/>
        </w:rPr>
        <w:t xml:space="preserve"> </w:t>
      </w:r>
      <w:proofErr w:type="spellStart"/>
      <w:r w:rsidR="00955F89" w:rsidRPr="00C53FC3">
        <w:rPr>
          <w:rFonts w:ascii="Arial" w:hAnsi="Arial" w:cs="Arial"/>
          <w:sz w:val="24"/>
          <w:szCs w:val="24"/>
        </w:rPr>
        <w:t>en</w:t>
      </w:r>
      <w:proofErr w:type="spellEnd"/>
      <w:r w:rsidR="00955F89" w:rsidRPr="00C53FC3">
        <w:rPr>
          <w:rFonts w:ascii="Arial" w:hAnsi="Arial" w:cs="Arial"/>
          <w:sz w:val="24"/>
          <w:szCs w:val="24"/>
        </w:rPr>
        <w:t xml:space="preserve"> </w:t>
      </w:r>
      <w:proofErr w:type="spellStart"/>
      <w:r w:rsidR="00955F89" w:rsidRPr="00C53FC3">
        <w:rPr>
          <w:rFonts w:ascii="Arial" w:hAnsi="Arial" w:cs="Arial"/>
          <w:sz w:val="24"/>
          <w:szCs w:val="24"/>
        </w:rPr>
        <w:t>los</w:t>
      </w:r>
      <w:proofErr w:type="spellEnd"/>
      <w:r w:rsidR="00955F89" w:rsidRPr="00C53FC3">
        <w:rPr>
          <w:rFonts w:ascii="Arial" w:hAnsi="Arial" w:cs="Arial"/>
          <w:sz w:val="24"/>
          <w:szCs w:val="24"/>
        </w:rPr>
        <w:t xml:space="preserve"> </w:t>
      </w:r>
      <w:proofErr w:type="spellStart"/>
      <w:r w:rsidR="00955F89" w:rsidRPr="00C53FC3">
        <w:rPr>
          <w:rFonts w:ascii="Arial" w:hAnsi="Arial" w:cs="Arial"/>
          <w:sz w:val="24"/>
          <w:szCs w:val="24"/>
        </w:rPr>
        <w:t>inmuebles</w:t>
      </w:r>
      <w:proofErr w:type="spellEnd"/>
      <w:r w:rsidR="00955F89" w:rsidRPr="00C53FC3">
        <w:rPr>
          <w:rFonts w:ascii="Arial" w:hAnsi="Arial" w:cs="Arial"/>
          <w:sz w:val="24"/>
          <w:szCs w:val="24"/>
        </w:rPr>
        <w:t xml:space="preserve"> y </w:t>
      </w:r>
      <w:proofErr w:type="spellStart"/>
      <w:r w:rsidR="00955F89" w:rsidRPr="00C53FC3">
        <w:rPr>
          <w:rFonts w:ascii="Arial" w:hAnsi="Arial" w:cs="Arial"/>
          <w:sz w:val="24"/>
          <w:szCs w:val="24"/>
        </w:rPr>
        <w:t>ahorro</w:t>
      </w:r>
      <w:proofErr w:type="spellEnd"/>
      <w:r w:rsidR="00955F89" w:rsidRPr="00C53FC3">
        <w:rPr>
          <w:rFonts w:ascii="Arial" w:hAnsi="Arial" w:cs="Arial"/>
          <w:sz w:val="24"/>
          <w:szCs w:val="24"/>
        </w:rPr>
        <w:t xml:space="preserve"> </w:t>
      </w:r>
      <w:proofErr w:type="spellStart"/>
      <w:r w:rsidR="00955F89" w:rsidRPr="00C53FC3">
        <w:rPr>
          <w:rFonts w:ascii="Arial" w:hAnsi="Arial" w:cs="Arial"/>
          <w:sz w:val="24"/>
          <w:szCs w:val="24"/>
        </w:rPr>
        <w:t>energético</w:t>
      </w:r>
      <w:proofErr w:type="spellEnd"/>
      <w:r w:rsidR="00955F89" w:rsidRPr="00C53FC3">
        <w:rPr>
          <w:rFonts w:ascii="Arial" w:hAnsi="Arial" w:cs="Arial"/>
          <w:sz w:val="24"/>
          <w:szCs w:val="24"/>
        </w:rPr>
        <w:t xml:space="preserve">, </w:t>
      </w:r>
      <w:r w:rsidR="00955F89" w:rsidRPr="00C53FC3">
        <w:rPr>
          <w:rFonts w:ascii="Arial" w:hAnsi="Arial" w:cs="Arial"/>
          <w:sz w:val="24"/>
          <w:szCs w:val="24"/>
        </w:rPr>
        <w:fldChar w:fldCharType="begin" w:fldLock="1"/>
      </w:r>
      <w:r w:rsidR="00163D31">
        <w:rPr>
          <w:rFonts w:ascii="Arial" w:hAnsi="Arial" w:cs="Arial"/>
          <w:sz w:val="24"/>
          <w:szCs w:val="24"/>
        </w:rPr>
        <w:instrText>ADDIN CSL_CITATION {"citationItems":[{"id":"ITEM-1","itemData":{"DOI":"10.1016/j.jenvman.2020.111882","ISSN":"10958630","abstract":"Three of the primary functions of green roofs in urban areas are to delay rainwater runoff, moderate building temperatures, and ameliorate the urban heat island (UHI) effect. A major impediment to the survival of plants on an unirrigated extensive green roof (EGR) is the harsh rooftop environment, including high temperatures and limited water during dry periods. Factors that influence EGR thermal and hydrologic performance include the albedo (reflectivity) of the roof and the composition of the green roof substrate (growing media). In this study we used white, reflective shading structures and three different media formulations to evaluate EGR thermal and hydrologic performance in the Pacific Northwest, USA. Shading significantly reduced daytime mean and maximum EGR media temperatures and significantly increased nighttime mean and minimum temperatures, which may provide energy benefits to buildings. Mean media moisture was greater in shaded trays than in exposed (unshaded) trays but differences were not statistically significant. Warmer nighttime media temperatures and lack of dew formation in shaded trays may have partially compensated for greater daytime evaporation from exposed trays. Media composition did not significantly influence media temperature or moisture. Results of this study suggest that adding shade structures to green roofs will combine thermal, hydrologic, and ecological benefits, and help achieve temperature and light regimes that allow for greater plant diversity on EGRs.","author":[{"dropping-particle":"","family":"Bollman","given":"Michael A.","non-dropping-particle":"","parse-names":false,"suffix":""},{"dropping-particle":"","family":"DeSantis","given":"Grace E.","non-dropping-particle":"","parse-names":false,"suffix":""},{"dropping-particle":"","family":"Waschmann","given":"Ronald S.","non-dropping-particle":"","parse-names":false,"suffix":""},{"dropping-particle":"","family":"Mayer","given":"Paul M.","non-dropping-particle":"","parse-names":false,"suffix":""}],"container-title":"Journal of Environmental Management","id":"ITEM-1","issue":"September 2020","issued":{"date-parts":[["2021"]]},"title":"Effects of shading and composition on green roof media temperature and moisture","type":"article-journal","volume":"281"},"uris":["http://www.mendeley.com/documents/?uuid=4edb2e79-dcca-4fa8-9a4e-709fddc542eb"]},{"id":"ITEM-2","itemData":{"DOI":"10.1016/j.enbuild.2019.05.041","ISSN":"03787788","abstract":"Green roofs are passive construction systems that can contribute to reduce the energy demand of buildings and achieve the European goal of nearly zero energy buildings. The main objective of this work was to determine experimentally the thermal performance of extensive green roofs with different substrates, compared to a traditional gravel ballasted roof. Hence, a study on the annual reduction of energy demand throughout two years warmer than average years, 2016 and 2017, and a dynamic analysis based on decrement factor, DF, time lag, TL, cooling potential, CP, for these three green roofs were carried out. The results showed that significant reductions of DF and increases of TL and CP were achieved, especially in the green roof with 100% of commercial growing medium substrate. Annual reductions of energy gains and losses were obtained in the three green roofs, with annual average reductions of 66% and 63%, respectively, compared to the traditional roof. These results were mainly related to the composition of the substrates, their capacity to retain water and the quantity of vegetation in each plot. This study indicates that the use of green roofs contributes significatively to reduce the energy demand of existing buildings under warm climatic conditions.","author":[{"dropping-particle":"","family":"Porcaro","given":"M.","non-dropping-particle":"","parse-names":false,"suffix":""},{"dropping-particle":"","family":"Ruiz de Adana","given":"M.","non-dropping-particle":"","parse-names":false,"suffix":""},{"dropping-particle":"","family":"Comino","given":"F.","non-dropping-particle":"","parse-names":false,"suffix":""},{"dropping-particle":"","family":"Peña","given":"A.","non-dropping-particle":"","parse-names":false,"suffix":""},{"dropping-particle":"","family":"Martín-Consuegra","given":"E.","non-dropping-particle":"","parse-names":false,"suffix":""},{"dropping-particle":"","family":"Vanwalleghem","given":"T.","non-dropping-particle":"","parse-names":false,"suffix":""}],"container-title":"Energy and Buildings","id":"ITEM-2","issued":{"date-parts":[["2019"]]},"page":"18-33","publisher":"Elsevier B.V.","title":"Long term experimental analysis of thermal performance of extensive green roofs with different substrates in Mediterranean climate","type":"article-journal","volume":"197"},"uris":["http://www.mendeley.com/documents/?uuid=3cfa18a9-7065-48a1-bdc6-3e693cc18bf2"]},{"id":"ITEM-3","itemData":{"DOI":"10.14718/revarq.2017.19.1.1109","ISBN":"0000000337","ISSN":"16570308","abstract":"Resumen Se determina el comportamiento térmico de un prototipo experimental de techo plantado, que pueda ser instalado sobre sistemas de cubiertas inclinadas en láminas onduladas de fibrocemento, ampliamente utilizas en nuestro medio. La investigación demostró las ventajas del uso de los techos plantados como dispositivos de enfriamiento pasivo, en las condiciones climáticas y meteorológicas específicas de la ciudad de Cali, donde la cubierta representa la mayor fuente de ganancia térmica. Durante la fase experimental, se construyeron un módulo testigo y dos módulos de prueba sobre los cuales se instalaron los prototipos y se registraron periódicamente los valores de temperatura superficial de la envolvente, y de temperatura y humedad relativa del aire exterior e interior. Utilizando un método comparativo, se pudo establecer y cuantificar el efecto positivo del prototipo sobre el comportamiento térmico de la envolvente en las condiciones locales, demostrando su utilidad. Palabras clave: confort térmico, enfriamiento pasivo, sostenibilidad, transferencia de calor, techos verdes. Green roofs as a passive cooling device in the tropics Abstract The study aims to determine the thermal performance of an experimental green-roof prototype that can be installed on pitched roofs of fiber cement corrugated sheets, widely used in our environment. Research results showed the advantages of using green roofs as a passive cooling device in the specific climate and weather conditions of a place such as Cali, Colombia, where roofs are the greatest source of heat gain. During the experimental phase, a control module and two test modules were built, where the green-roof prototypes were installed; surface temperature of the envelope and temperature and relative humidity of indoor and outdoor air were periodically recorded. Using a comparative method, it was possible to establish and quantify the positive effect of the prototype on the thermal performance of the envelope in local conditions, demonstrating its usefulness. Keywords: Green roofs, heat transfer, passive cooling, sustainability, thermal comfort. Telhados verdes como dispositivo de climatização passiva no Trópico Resumo Determina-se o comportamento térmico de um protótipo experimental de telhado verde que possa ser instalado sobre sistemas de coberturas inclinadas em telhas de fibrocimento, amplamente utilizadas em nosso meio. Esta pesquisa demonstrou as vantagens do uso dos telhados verdes como dispositivos de cl…","author":[{"dropping-particle":"","family":"Osuna-Motta","given":"Iván","non-dropping-particle":"","parse-names":false,"suffix":""},{"dropping-particle":"","family":"Herrera-Cáceres","given":"Carlos","non-dropping-particle":"","parse-names":false,"suffix":""},{"dropping-particle":"","family":"López-Bernal","given":"Oswaldo","non-dropping-particle":"","parse-names":false,"suffix":""}],"container-title":"Revista de Arquitectura","id":"ITEM-3","issue":"1","issued":{"date-parts":[["2017"]]},"page":"50-64","title":"Techo plantado como dispositivo de climatización pasiva en el trópico","type":"article-journal","volume":"19"},"uris":["http://www.mendeley.com/documents/?uuid=0b02ae6a-0c72-4f96-9c6f-7d21c36e0237"]},{"id":"ITEM-4","itemData":{"ISSN":"10526102","abstract":"Green roofs provide many environmental and health benefits. They can manage stormwater runoff, reduce the urban heat island effect, improve local air quality, and lower building electricity usage, which lowers air pollutant levels by reducing power plant generation. Kansas City is gaining momentum in the green roof arena. According to public records, Kansas City, Missouri (KCMO), adopted more than 450,000 square feet of green rooftop from 1999 to 2015. This study presents a methodology for quantitatively estimating the future benefits of green roofs using the current growth rate and pilots this methodology in KCMO. If green roof annual growth continues at the existing rate of 10 percent, KCMO will exceed 700,000 square feet of new green rooftop adoption by 2020. This case study projects that by 2020, green roofs in KCMO will be able to retain 29 inches of annual stormwater runoff, save 601,502 kWh of building energy consumption, and reduce 2,600 lbs of sulfur dioxide (SO2), 1,800 pounds of nitrogen oxides (NOx), and 1,100 tons of carbon dioxide (CO2) emissions from power plants within the region. Results are generated using the Green Roof Energy Calculator and the U.S. Environmental Protection Agency's (EPA's) AVoided Emissions and geneRation Tool (AVERT).","author":[{"dropping-particle":"","family":"U.S. Environmental Protection Agency (EPA)","given":"","non-dropping-particle":"","parse-names":false,"suffix":""}],"container-title":"EPA 430-S-18-001","id":"ITEM-4","issued":{"date-parts":[["2018"]]},"number-of-pages":"1-22","publisher-place":"Kansas","title":"Estimating the environmental effects of Green roofs: A case study in Kansas City, Missouri","type":"report"},"uris":["http://www.mendeley.com/documents/?uuid=7cca0968-6a29-4b76-a6d2-377e135b4290"]},{"id":"ITEM-5","itemData":{"DOI":"10.1016/j.renene.2015.07.074","author":[{"dropping-particle":"","family":"Gabriel","given":"P","non-dropping-particle":"","parse-names":false,"suffix":""},{"dropping-particle":"","family":"Sol","given":"Cristian","non-dropping-particle":"","parse-names":false,"suffix":""},{"dropping-particle":"","family":"Castell","given":"Albert","non-dropping-particle":"","parse-names":false,"suffix":""},{"dropping-particle":"","family":"Cabeza","given":"Luisa F","non-dropping-particle":"","parse-names":false,"suffix":""}],"id":"ITEM-5","issued":{"date-parts":[["2016"]]},"page":"1106-1115","title":"Thermal assessment of extensive green roofs as passive tool for energy savings in buildings","type":"article-journal","volume":"85"},"uris":["http://www.mendeley.com/documents/?uuid=c0b00d10-5672-43b9-802c-418c874e9684"]},{"id":"ITEM-6","itemData":{"DOI":"10.1016/j.enbuild.2010.05.004","ISSN":"03787788","abstract":"Green roofs are a passive cooling technique that stop incoming solar radiation from reaching the building structure below. Many studies have been conducted over the past 10 years to consider the potential building energy benefits of green roofs and shown that they can offer benefits in winter heating reduction as well as summer cooling. This paper reviews the current literature and highlights the situations in which the greatest building energy savings can be made. Older buildings with poor existing insulation are deemed to benefit most from a green roof as current building regulations require such high levels of insulation that green roofs are seen to hardly affect annual building energy consumption. As over half of the existing UK building stock was built before any roof insulation was required, it is older buildings that will benefit most from green roofs. The case for retrofitting existing buildings is therefore reviewed and it is found there is strong potential for green roof retrofit in the UK. © 2010 Elsevier B.V. All rights reserved.","author":[{"dropping-particle":"","family":"Castleton","given":"H. F.","non-dropping-particle":"","parse-names":false,"suffix":""},{"dropping-particle":"","family":"Stovin","given":"V.","non-dropping-particle":"","parse-names":false,"suffix":""},{"dropping-particle":"","family":"Beck","given":"S. B.M.","non-dropping-particle":"","parse-names":false,"suffix":""},{"dropping-particle":"","family":"Davison","given":"J. B.","non-dropping-particle":"","parse-names":false,"suffix":""}],"container-title":"Energy and Buildings","id":"ITEM-6","issue":"10","issued":{"date-parts":[["2010"]]},"page":"1582-1591","publisher":"Elsevier B.V.","title":"Green roofs; Building energy savings and the potential for retrofit","type":"article-journal","volume":"42"},"uris":["http://www.mendeley.com/documents/?uuid=1628b497-b18b-41d1-90e0-7d6398bc9836"]},{"id":"ITEM-7","itemData":{"DOI":"10.1016/j.enbuild.2017.01.015","ISSN":"03787788","abstract":"Due to the many benefits offered by Green Roofs Systems (GRS), such as: energy savings in buildings and reducing urban heat island, to mention some, these have been extensively studied in recent years. Many theoretical and experimental studies have been conducted to determine the potential of the GRS as passive cooling systems in buildings. However, most of the experimental studies are applicable only to GRS in question and the existing mathematical models to predict the heat flux, through the various layers of biotic and abiotic materials that make up the GRS, assume that these layers are formed by homogeneous materials and not consider that these may be heterogeneous media. In this work is considered that some of the layers that make up GRS are heterogeneous, as the green layer is formed by plants and air or the substrate layer is formed by land and water; thus, a heat transfer model for GRS is proposed that consider biphasic media, and non-conventional boundary condition for coupling the GRS layers are proposed; this model allows further study of heat transfer through heterogeneous media, especially in GRS. The model is verified with data published and experimental data obtained in the Controlled Environment Laboratory of the Universidad Autónoma Metropolitana-Iztapalapa.","author":[{"dropping-particle":"","family":"Quezada-García","given":"S.","non-dropping-particle":"","parse-names":false,"suffix":""},{"dropping-particle":"","family":"Espinosa-Paredes","given":"G.","non-dropping-particle":"","parse-names":false,"suffix":""},{"dropping-particle":"","family":"Escobedo-Izquierdo","given":"M. A.","non-dropping-particle":"","parse-names":false,"suffix":""},{"dropping-particle":"","family":"Vázquez-Rodríguez","given":"A.","non-dropping-particle":"","parse-names":false,"suffix":""},{"dropping-particle":"","family":"Vázquez-Rodríguez","given":"R.","non-dropping-particle":"","parse-names":false,"suffix":""},{"dropping-particle":"","family":"Ambriz-García","given":"J. J.","non-dropping-particle":"","parse-names":false,"suffix":""}],"container-title":"Energy and Buildings","id":"ITEM-7","issued":{"date-parts":[["2017"]]},"page":"205-213","publisher":"Elsevier B.V.","title":"Heterogeneous model for heat transfer in Green Roof Systems","type":"article-journal","volume":"139"},"uris":["http://www.mendeley.com/documents/?uuid=9363c8b5-c971-411b-8b21-ed2d5ef26504"]}],"mendeley":{"formattedCitation":"(Bollman et al., 2021; Castleton et al., 2010; Gabriel et al., 2016; Osuna-Motta et al., 2017; Porcaro et al., 2019; Quezada-García et al., 2017; U.S. Environmental Protection Agency (EPA), 2018)","plainTextFormattedCitation":"(Bollman et al., 2021; Castleton et al., 2010; Gabriel et al., 2016; Osuna-Motta et al., 2017; Porcaro et al., 2019; Quezada-García et al., 2017; U.S. Environmental Protection Agency (EPA), 2018)","previouslyFormattedCitation":"(Bollman et al., 2021; Castleton et al., 2010; Gabriel et al., 2016; Osuna-Motta et al., 2017; Porcaro et al., 2019; Quezada-García et al., 2017; U.S. Environmental Protection Agency (EPA), 2018)"},"properties":{"noteIndex":0},"schema":"https://github.com/citation-style-language/schema/raw/master/csl-citation.json"}</w:instrText>
      </w:r>
      <w:r w:rsidR="00955F89" w:rsidRPr="00C53FC3">
        <w:rPr>
          <w:rFonts w:ascii="Arial" w:hAnsi="Arial" w:cs="Arial"/>
          <w:sz w:val="24"/>
          <w:szCs w:val="24"/>
        </w:rPr>
        <w:fldChar w:fldCharType="separate"/>
      </w:r>
      <w:r w:rsidR="00042957" w:rsidRPr="00C53FC3">
        <w:rPr>
          <w:rFonts w:ascii="Arial" w:hAnsi="Arial" w:cs="Arial"/>
          <w:noProof/>
          <w:sz w:val="24"/>
          <w:szCs w:val="24"/>
        </w:rPr>
        <w:t>(Bollman et al., 2021; Castleton et al., 2010; Gabriel et al., 2016; Osuna-Motta et al., 2017; Porcaro et al., 2019; Quezada-García et al., 2017; U.S. Environmental Protection Agency (EPA), 2018)</w:t>
      </w:r>
      <w:r w:rsidR="00955F89" w:rsidRPr="00C53FC3">
        <w:rPr>
          <w:rFonts w:ascii="Arial" w:hAnsi="Arial" w:cs="Arial"/>
          <w:sz w:val="24"/>
          <w:szCs w:val="24"/>
        </w:rPr>
        <w:fldChar w:fldCharType="end"/>
      </w:r>
      <w:r w:rsidR="00955F89" w:rsidRPr="00C53FC3">
        <w:rPr>
          <w:rFonts w:ascii="Arial" w:hAnsi="Arial" w:cs="Arial"/>
          <w:sz w:val="24"/>
          <w:szCs w:val="24"/>
        </w:rPr>
        <w:t xml:space="preserve"> </w:t>
      </w:r>
    </w:p>
    <w:p w14:paraId="705AE1FF" w14:textId="1C4A56DF" w:rsidR="00C53FC3" w:rsidRDefault="00C53FC3" w:rsidP="00C53FC3">
      <w:pPr>
        <w:pStyle w:val="Prrafodelista"/>
        <w:numPr>
          <w:ilvl w:val="0"/>
          <w:numId w:val="7"/>
        </w:numPr>
        <w:spacing w:line="360" w:lineRule="auto"/>
        <w:jc w:val="both"/>
        <w:rPr>
          <w:rFonts w:ascii="Arial" w:hAnsi="Arial" w:cs="Arial"/>
          <w:sz w:val="24"/>
          <w:szCs w:val="24"/>
        </w:rPr>
      </w:pPr>
      <w:proofErr w:type="spellStart"/>
      <w:r>
        <w:rPr>
          <w:rFonts w:ascii="Arial" w:hAnsi="Arial" w:cs="Arial"/>
          <w:sz w:val="24"/>
          <w:szCs w:val="24"/>
        </w:rPr>
        <w:t>D</w:t>
      </w:r>
      <w:r w:rsidR="00955F89" w:rsidRPr="00C53FC3">
        <w:rPr>
          <w:rFonts w:ascii="Arial" w:hAnsi="Arial" w:cs="Arial"/>
          <w:sz w:val="24"/>
          <w:szCs w:val="24"/>
        </w:rPr>
        <w:t>isminución</w:t>
      </w:r>
      <w:proofErr w:type="spellEnd"/>
      <w:r w:rsidR="00955F89" w:rsidRPr="00C53FC3">
        <w:rPr>
          <w:rFonts w:ascii="Arial" w:hAnsi="Arial" w:cs="Arial"/>
          <w:sz w:val="24"/>
          <w:szCs w:val="24"/>
        </w:rPr>
        <w:t xml:space="preserve"> del </w:t>
      </w:r>
      <w:proofErr w:type="spellStart"/>
      <w:r w:rsidR="00955F89" w:rsidRPr="00C53FC3">
        <w:rPr>
          <w:rFonts w:ascii="Arial" w:hAnsi="Arial" w:cs="Arial"/>
          <w:sz w:val="24"/>
          <w:szCs w:val="24"/>
        </w:rPr>
        <w:t>efecto</w:t>
      </w:r>
      <w:proofErr w:type="spellEnd"/>
      <w:r w:rsidR="00955F89" w:rsidRPr="00C53FC3">
        <w:rPr>
          <w:rFonts w:ascii="Arial" w:hAnsi="Arial" w:cs="Arial"/>
          <w:sz w:val="24"/>
          <w:szCs w:val="24"/>
        </w:rPr>
        <w:t xml:space="preserve"> </w:t>
      </w:r>
      <w:proofErr w:type="spellStart"/>
      <w:r w:rsidR="00955F89" w:rsidRPr="00C53FC3">
        <w:rPr>
          <w:rFonts w:ascii="Arial" w:hAnsi="Arial" w:cs="Arial"/>
          <w:sz w:val="24"/>
          <w:szCs w:val="24"/>
        </w:rPr>
        <w:t>isla</w:t>
      </w:r>
      <w:proofErr w:type="spellEnd"/>
      <w:r w:rsidR="00955F89" w:rsidRPr="00C53FC3">
        <w:rPr>
          <w:rFonts w:ascii="Arial" w:hAnsi="Arial" w:cs="Arial"/>
          <w:sz w:val="24"/>
          <w:szCs w:val="24"/>
        </w:rPr>
        <w:t xml:space="preserve"> de </w:t>
      </w:r>
      <w:proofErr w:type="spellStart"/>
      <w:r w:rsidR="00955F89" w:rsidRPr="00C53FC3">
        <w:rPr>
          <w:rFonts w:ascii="Arial" w:hAnsi="Arial" w:cs="Arial"/>
          <w:sz w:val="24"/>
          <w:szCs w:val="24"/>
        </w:rPr>
        <w:t>calor</w:t>
      </w:r>
      <w:proofErr w:type="spellEnd"/>
      <w:r w:rsidR="00955F89" w:rsidRPr="00C53FC3">
        <w:rPr>
          <w:rFonts w:ascii="Arial" w:hAnsi="Arial" w:cs="Arial"/>
          <w:sz w:val="24"/>
          <w:szCs w:val="24"/>
        </w:rPr>
        <w:t xml:space="preserve"> </w:t>
      </w:r>
      <w:r w:rsidR="00955F89" w:rsidRPr="00C53FC3">
        <w:rPr>
          <w:rFonts w:ascii="Arial" w:hAnsi="Arial" w:cs="Arial"/>
          <w:sz w:val="24"/>
          <w:szCs w:val="24"/>
        </w:rPr>
        <w:fldChar w:fldCharType="begin" w:fldLock="1"/>
      </w:r>
      <w:r w:rsidR="00163D31">
        <w:rPr>
          <w:rFonts w:ascii="Arial" w:hAnsi="Arial" w:cs="Arial"/>
          <w:sz w:val="24"/>
          <w:szCs w:val="24"/>
        </w:rPr>
        <w:instrText>ADDIN CSL_CITATION {"citationItems":[{"id":"ITEM-1","itemData":{"DOI":"10.1016/S2095-3119(13)60543-2","ISSN":"20953119","abstract":"The temperature difference between an urban space and surrounding non-urban space is called the urban heat island effect (UHI). Global terrestrial evapotranspiration (ET) can consume 1.4803×1023 joules (J) of energy annually, which is about 21.74% of the total available solar energy at the top of atmosphere, whereas annual human energy use is 4.935×1020 J, about 0.33% of annual ET energy consumption. Vegetation ET has great potential to reduce urban and global temperatures. Our literature review suggests that vegetation and urban agricultural ET can reduce urban temperatures by 0.5 to 4.0°C. Green roofs (including urban agriculture) and water bodies have also been shown to be effective ways of reducing urban temperatures. The cooling effects on the ambient temperature and the roof surface temperature can be 0.24-4.0°C and 0.8-60.0°C, respectively. The temperature of a water body (including urban aquaculture) can be lower than the temperature of the surrounding built environment by between 2 and 6°C, and a water body with a 16 m2 surface area can cool up to 2 826 m3 of nearby space by 1°C. Based on these findings, it can be concluded that the increase of evapotranspiration in cities, derived from vegetation, urban agriculture, and water body, can effectively mitigate the effect of urban heat islands. © 2013 Chinese Academy of Agricultural Sciences.","author":[{"dropping-particle":"","family":"Qiu","given":"Guo-yu","non-dropping-particle":"","parse-names":false,"suffix":""},{"dropping-particle":"","family":"Li","given":"Hong yong","non-dropping-particle":"","parse-names":false,"suffix":""},{"dropping-particle":"","family":"Zhang","given":"Qing tao","non-dropping-particle":"","parse-names":false,"suffix":""},{"dropping-particle":"","family":"Chen","given":"Wan","non-dropping-particle":"","parse-names":false,"suffix":""},{"dropping-particle":"","family":"Liang","given":"Xiao jian","non-dropping-particle":"","parse-names":false,"suffix":""},{"dropping-particle":"","family":"Li","given":"Xiang ze","non-dropping-particle":"","parse-names":false,"suffix":""}],"container-title":"Journal of Integrative Agriculture","id":"ITEM-1","issue":"8","issued":{"date-parts":[["2013"]]},"page":"1307-1315","publisher":"Central Iron and Steel Research Institute","title":"Effects of Evapotranspiration on Mitigation of Urban Temperature by Vegetation and Urban Agriculture","type":"article-journal","volume":"12"},"uris":["http://www.mendeley.com/documents/?uuid=9e8d479f-acaa-4418-9f78-42acd029367f"]},{"id":"ITEM-2","itemData":{"DOI":"10.1016/j.jclepro.2020.120152","ISSN":"09596526","abstract":"Green roofs are thought to be an effective measure to solve the contradiction between land shortages and ecological construction, especially address urban heat island (UHI) effects in high-density urban areas. However, few empirical studies have focused on the cooling effect of green roof projects at urban scales. This study quantified the cooling effect of green roofs in Xiamen Island, China, where 540,000 m2 of green roofs were implemented between 2015 and 2017, in order to address the two research questions: (1) do green roofs in high-density urban areas have a significant cooling effect at the city scale and (2) what is the extent of the cooling? The relative difference between the average land surface temperature (LST) of Xiamen Island and the green roofs stemmed from Landsat 8 remote sensing image in the summers of 2014 and 2017 were calculated in geographic information systems (GIS) to represent the cooling effect of green roof project. Results showed that: (1) the average LST difference between green roofs and Xiamen Island decreased by 0.91 °C, indicating that green roofs could effectively alleviate UHI effects in high-density urban areas; (2) The cooling effect was significant up to 100 m from the green roof installation in Xiamen Island, we called it as characteristic cooling buffer zone; (3) Regression analysis revealed that for every 1000 m2 increase in green roof area, the average LST of the roof and its characteristic cooling buffer zone decreased by 0.4 °C. These findings provide the empirical proof for the cooling effect of green roofs on the surrounding environment in high-density urban areas and important insights for urban planners and government agencies for the effective mitigation of UHI impacts.","author":[{"dropping-particle":"","family":"Dong","given":"Jing","non-dropping-particle":"","parse-names":false,"suffix":""},{"dropping-particle":"","family":"Lin","given":"Meixia","non-dropping-particle":"","parse-names":false,"suffix":""},{"dropping-particle":"","family":"Zuo","given":"Jin","non-dropping-particle":"","parse-names":false,"suffix":""},{"dropping-particle":"","family":"Lin","given":"Tao","non-dropping-particle":"","parse-names":false,"suffix":""},{"dropping-particle":"","family":"Liu","given":"Jiakun","non-dropping-particle":"","parse-names":false,"suffix":""},{"dropping-particle":"","family":"Sun","given":"Caige","non-dropping-particle":"","parse-names":false,"suffix":""},{"dropping-particle":"","family":"Luo","given":"Jiancheng","non-dropping-particle":"","parse-names":false,"suffix":""}],"container-title":"Journal of Cleaner Production","id":"ITEM-2","issued":{"date-parts":[["2020"]]},"title":"Quantitative study on the cooling effect of green roofs in a high-density urban Area—A case study of Xiamen, China","type":"article-journal","volume":"255"},"uris":["http://www.mendeley.com/documents/?uuid=4eac654a-0185-48a4-8544-dfc98b97b888"]},{"id":"ITEM-3","itemData":{"DOI":"10.1016/j.rser.2015.11.098","ISSN":"18790690","abstract":"In the Mediterranean area, rural abandonment and the rapid urbanisation after the 1950's have led to complex environmental problems, such as the exploitation of natural resources, the environmental pollution and the rapid increase of greenhouse gas emissions. Especially the unrestrained urban growth caused excessive pressure on the existing infrastructure, which affects buildings, public transportation, road networks, water quality, waste collection and public health. Green roofs are emerging building technologies that can help communities mitigate some of the above mentioned problems. Various studies have demonstrated that the implementation of green roof technology can moderate some of these environmental problems, through the reduction of heat flux and solar reflectivity, the minimisation of heat losses through the building's envelope, the air pollution removal, the storm water runoff reduction, the air cooling as well as the effective management of the urban heat island effect. In this line of thought, the aim of this study is to assess the green roof potential and the quantification of its benefits over Thessaloniki, Greece's second largest city. To delineate the available green roof areas, very high spatial resolution satellite image and natural colour orthoimagery were used along with a geographical object-based image analysis approach. Potential green roof extent was extracted with a mean error of 8.78 m2, and discriminated from staircases, penthouse setbacks and terracotta tiles. Subsequently GIS were used to extrapolate the results from the building to the city scale. Carbon sequestration potential, rainwater retention and energy conservation were estimated based on coefficients adopted after a comprehensive literature review and actual dynamic energy simulations. The green roof potential in Thessaloniki approximated 17% of the gross built areas of the city, which means that there is a strong potential for green roof retrofit. Depending on the vegetation type installed in an extensive green roof, C stocks in Thessaloniki can increase by 2.5 times, while the dynamic energy simulations suggested that in certain city blocks reduced heating and cooling consumptions up to 5% and 16% respectively could be achieved. In regard to rainwater retention, implementation of green roofs in Thessaloniki is estimated to contribute in rainwater retention by almost 45%, allowing more than half of the rainwater precipitation to be reserved at the 50% of the city …","author":[{"dropping-particle":"","family":"Karteris","given":"Marinos","non-dropping-particle":"","parse-names":false,"suffix":""},{"dropping-particle":"","family":"Theodoridou","given":"Ifigeneia","non-dropping-particle":"","parse-names":false,"suffix":""},{"dropping-particle":"","family":"Mallinis","given":"Giorgos","non-dropping-particle":"","parse-names":false,"suffix":""},{"dropping-particle":"","family":"Tsiros","given":"Emmanouel","non-dropping-particle":"","parse-names":false,"suffix":""},{"dropping-particle":"","family":"Karteris","given":"Apostolos","non-dropping-particle":"","parse-names":false,"suffix":""}],"container-title":"Renewable and Sustainable Energy Reviews","id":"ITEM-3","issued":{"date-parts":[["2016"]]},"page":"510-525","title":"Towards a green sustainable strategy for Mediterranean cities: Assessing the benefits of large-scale green roofs implementation in Thessaloniki, Northern Greece, using environmental modelling, GIS and very high spatial resolution remote sensing data","type":"article-journal","volume":"58"},"uris":["http://www.mendeley.com/documents/?uuid=c4c2c007-0ea6-492d-a3c3-9c74ead5646f"]}],"mendeley":{"formattedCitation":"(Dong et al., 2020; Karteris et al., 2016; G. Qiu et al., 2013)","plainTextFormattedCitation":"(Dong et al., 2020; Karteris et al., 2016; G. Qiu et al., 2013)","previouslyFormattedCitation":"(Dong et al., 2020; Karteris et al., 2016; G. Qiu et al., 2013)"},"properties":{"noteIndex":0},"schema":"https://github.com/citation-style-language/schema/raw/master/csl-citation.json"}</w:instrText>
      </w:r>
      <w:r w:rsidR="00955F89" w:rsidRPr="00C53FC3">
        <w:rPr>
          <w:rFonts w:ascii="Arial" w:hAnsi="Arial" w:cs="Arial"/>
          <w:sz w:val="24"/>
          <w:szCs w:val="24"/>
        </w:rPr>
        <w:fldChar w:fldCharType="separate"/>
      </w:r>
      <w:r w:rsidR="00042957" w:rsidRPr="00C53FC3">
        <w:rPr>
          <w:rFonts w:ascii="Arial" w:hAnsi="Arial" w:cs="Arial"/>
          <w:noProof/>
          <w:sz w:val="24"/>
          <w:szCs w:val="24"/>
        </w:rPr>
        <w:t>(Dong et al., 2020; Karteris et al., 2016; G. Qiu et al., 2013)</w:t>
      </w:r>
      <w:r w:rsidR="00955F89" w:rsidRPr="00C53FC3">
        <w:rPr>
          <w:rFonts w:ascii="Arial" w:hAnsi="Arial" w:cs="Arial"/>
          <w:sz w:val="24"/>
          <w:szCs w:val="24"/>
        </w:rPr>
        <w:fldChar w:fldCharType="end"/>
      </w:r>
    </w:p>
    <w:p w14:paraId="7B9FFA77" w14:textId="240A74C0" w:rsidR="00C53FC3" w:rsidRDefault="00C53FC3" w:rsidP="00C53FC3">
      <w:pPr>
        <w:pStyle w:val="Prrafodelista"/>
        <w:numPr>
          <w:ilvl w:val="0"/>
          <w:numId w:val="7"/>
        </w:numPr>
        <w:spacing w:line="360" w:lineRule="auto"/>
        <w:jc w:val="both"/>
        <w:rPr>
          <w:rFonts w:ascii="Arial" w:hAnsi="Arial" w:cs="Arial"/>
          <w:sz w:val="24"/>
          <w:szCs w:val="24"/>
        </w:rPr>
      </w:pPr>
      <w:proofErr w:type="spellStart"/>
      <w:r>
        <w:rPr>
          <w:rFonts w:ascii="Arial" w:hAnsi="Arial" w:cs="Arial"/>
          <w:sz w:val="24"/>
          <w:szCs w:val="24"/>
        </w:rPr>
        <w:t>C</w:t>
      </w:r>
      <w:r w:rsidR="00955F89" w:rsidRPr="00C53FC3">
        <w:rPr>
          <w:rFonts w:ascii="Arial" w:hAnsi="Arial" w:cs="Arial"/>
          <w:sz w:val="24"/>
          <w:szCs w:val="24"/>
        </w:rPr>
        <w:t>aptación</w:t>
      </w:r>
      <w:proofErr w:type="spellEnd"/>
      <w:r w:rsidR="00955F89" w:rsidRPr="00C53FC3">
        <w:rPr>
          <w:rFonts w:ascii="Arial" w:hAnsi="Arial" w:cs="Arial"/>
          <w:sz w:val="24"/>
          <w:szCs w:val="24"/>
        </w:rPr>
        <w:t xml:space="preserve"> de </w:t>
      </w:r>
      <w:proofErr w:type="spellStart"/>
      <w:r w:rsidR="00955F89" w:rsidRPr="00C53FC3">
        <w:rPr>
          <w:rFonts w:ascii="Arial" w:hAnsi="Arial" w:cs="Arial"/>
          <w:sz w:val="24"/>
          <w:szCs w:val="24"/>
        </w:rPr>
        <w:t>bióxido</w:t>
      </w:r>
      <w:proofErr w:type="spellEnd"/>
      <w:r w:rsidR="00955F89" w:rsidRPr="00C53FC3">
        <w:rPr>
          <w:rFonts w:ascii="Arial" w:hAnsi="Arial" w:cs="Arial"/>
          <w:sz w:val="24"/>
          <w:szCs w:val="24"/>
        </w:rPr>
        <w:t xml:space="preserve"> de </w:t>
      </w:r>
      <w:proofErr w:type="spellStart"/>
      <w:r w:rsidR="00955F89" w:rsidRPr="00C53FC3">
        <w:rPr>
          <w:rFonts w:ascii="Arial" w:hAnsi="Arial" w:cs="Arial"/>
          <w:sz w:val="24"/>
          <w:szCs w:val="24"/>
        </w:rPr>
        <w:t>carbono</w:t>
      </w:r>
      <w:proofErr w:type="spellEnd"/>
      <w:r w:rsidR="00955F89" w:rsidRPr="00C53FC3">
        <w:rPr>
          <w:rFonts w:ascii="Arial" w:hAnsi="Arial" w:cs="Arial"/>
          <w:sz w:val="24"/>
          <w:szCs w:val="24"/>
        </w:rPr>
        <w:t xml:space="preserve"> CO</w:t>
      </w:r>
      <w:r w:rsidR="00955F89" w:rsidRPr="00C53FC3">
        <w:rPr>
          <w:rFonts w:ascii="Arial" w:hAnsi="Arial" w:cs="Arial"/>
          <w:sz w:val="24"/>
          <w:szCs w:val="24"/>
          <w:vertAlign w:val="subscript"/>
        </w:rPr>
        <w:t>2</w:t>
      </w:r>
      <w:r w:rsidR="00955F89" w:rsidRPr="00C53FC3">
        <w:rPr>
          <w:rFonts w:ascii="Arial" w:hAnsi="Arial" w:cs="Arial"/>
          <w:sz w:val="24"/>
          <w:szCs w:val="24"/>
        </w:rPr>
        <w:t xml:space="preserve"> y </w:t>
      </w:r>
      <w:proofErr w:type="spellStart"/>
      <w:r w:rsidR="00955F89" w:rsidRPr="00C53FC3">
        <w:rPr>
          <w:rFonts w:ascii="Arial" w:hAnsi="Arial" w:cs="Arial"/>
          <w:sz w:val="24"/>
          <w:szCs w:val="24"/>
        </w:rPr>
        <w:t>reducción</w:t>
      </w:r>
      <w:proofErr w:type="spellEnd"/>
      <w:r w:rsidR="00955F89" w:rsidRPr="00C53FC3">
        <w:rPr>
          <w:rFonts w:ascii="Arial" w:hAnsi="Arial" w:cs="Arial"/>
          <w:sz w:val="24"/>
          <w:szCs w:val="24"/>
        </w:rPr>
        <w:t xml:space="preserve"> de la </w:t>
      </w:r>
      <w:proofErr w:type="spellStart"/>
      <w:r w:rsidR="00955F89" w:rsidRPr="00C53FC3">
        <w:rPr>
          <w:rFonts w:ascii="Arial" w:hAnsi="Arial" w:cs="Arial"/>
          <w:sz w:val="24"/>
          <w:szCs w:val="24"/>
        </w:rPr>
        <w:t>contaminación</w:t>
      </w:r>
      <w:proofErr w:type="spellEnd"/>
      <w:r w:rsidR="00955F89" w:rsidRPr="00C53FC3">
        <w:rPr>
          <w:rFonts w:ascii="Arial" w:hAnsi="Arial" w:cs="Arial"/>
          <w:sz w:val="24"/>
          <w:szCs w:val="24"/>
        </w:rPr>
        <w:t xml:space="preserve"> </w:t>
      </w:r>
      <w:proofErr w:type="spellStart"/>
      <w:r w:rsidR="00955F89" w:rsidRPr="00C53FC3">
        <w:rPr>
          <w:rFonts w:ascii="Arial" w:hAnsi="Arial" w:cs="Arial"/>
          <w:sz w:val="24"/>
          <w:szCs w:val="24"/>
        </w:rPr>
        <w:t>atmosférica</w:t>
      </w:r>
      <w:proofErr w:type="spellEnd"/>
      <w:r w:rsidR="00955F89" w:rsidRPr="00C53FC3">
        <w:rPr>
          <w:rFonts w:ascii="Arial" w:hAnsi="Arial" w:cs="Arial"/>
          <w:sz w:val="24"/>
          <w:szCs w:val="24"/>
        </w:rPr>
        <w:t xml:space="preserve"> </w:t>
      </w:r>
      <w:r w:rsidR="00955F89" w:rsidRPr="00C53FC3">
        <w:rPr>
          <w:rFonts w:ascii="Arial" w:hAnsi="Arial" w:cs="Arial"/>
          <w:sz w:val="24"/>
          <w:szCs w:val="24"/>
        </w:rPr>
        <w:fldChar w:fldCharType="begin" w:fldLock="1"/>
      </w:r>
      <w:r w:rsidR="00163D31">
        <w:rPr>
          <w:rFonts w:ascii="Arial" w:hAnsi="Arial" w:cs="Arial"/>
          <w:sz w:val="24"/>
          <w:szCs w:val="24"/>
        </w:rPr>
        <w:instrText>ADDIN CSL_CITATION {"citationItems":[{"id":"ITEM-1","itemData":{"DOI":"10.1016/j.envpol.2010.10.029","ISSN":"18736424","abstract":"Green roofs involve growing vegetation on rooftops and are one tool that can help mitigate the negative effects of pollution. This review encompasses published research to date on how green roofs can help mitigate pollution, how green roof materials influence the magnitude of these benefits, and suggests future research directions. The discussion concentrates on how green roofs influence air pollution, carbon dioxide emissions, carbon sequestration, longevity of roofing membranes that result in fewer roofing materials in landfills, water quality of stormwater runoff, and noise pollution. Suggestions for future directions for research include plant selection, development of improved growing substrates, urban rooftop agriculture, water quality of runoff, supplemental irrigation, the use of grey water, air pollution, carbon sequestration, effects on human health, combining green roofs with complementary related technologies, and economics and policy issues. © 2010 Elsevier Ltd. All rights reserved.","author":[{"dropping-particle":"","family":"Rowe","given":"D. Bradley","non-dropping-particle":"","parse-names":false,"suffix":""}],"container-title":"Environmental Pollution","id":"ITEM-1","issue":"8-9","issued":{"date-parts":[["2011"]]},"page":"2100-2110","publisher":"Elsevier Ltd","title":"Green roofs as a means of pollution abatement","type":"article-journal","volume":"159"},"uris":["http://www.mendeley.com/documents/?uuid=7ae9738d-479d-454e-8963-cd7c3a9a2526"]},{"id":"ITEM-2","itemData":{"DOI":"10.1371/currents.dis.bb66ae4f4f3c6eb118a019a29a9ce80f","ISSN":"2157-3999","abstract":"INTRODUCTION In the first months of 2016, the Mexico City Metropolitan Area experienced the worst air pollution crisis in the last decade, prompting drastic short-term solutions by the Mexico City Government and neighboring States. In order to help further the search for long-term sustainable solutions, we felt obliged to immediately release the results of our research regarding the monitoring of carbon sequestration by green roofs. Large-scale naturation, such as the implementation of green roofs, provides a way to partially mitigate the increased carbon dioxide output in urban areas. METHODS Here, we quantified the carbon sequestration capabilities of two ornamental succulent plant species, Sedum dendroideum and Sedum rubrotinctum, which require low maintenance, and little or no irrigation. To obtain a detailed picture of these plants' carbon sequestration capabilities, we measured carbon uptake on the Sedum plants by quantifying carbon dioxide exchange and fixation as organic acids, during the day and across the year, on a green roof located in Southern Mexico City. RESULTS The species displayed their typical CAM photosynthetic metabolism. Moreover, our quantification allowed us to conservatively estimate that a newly planted green roof of Sedum sequesters approximately 180,000,000 ppm of carbon dioxide per year in a green roof of 100 square meters in the short term. DISCUSSION The patterns of CAM and carbon dioxide sequestration were highly robust to the fluctuations of temperature and precipitation between seasons, and therefore we speculate that carbon sequestration would be comparable in any given year of a newly planted green roof. Older green roof would require regular trimming to mantain their carbon sink properties, but their carbon sequestration capabilities remain to be quantified. Nevertheless, we propose that Sedum green roofs can be part of the long-term solutions to mitigate the air pollution crisis in the Mexico City Metropolitan area, and other \"megacities\" with marked seasonal drought.","author":[{"dropping-particle":"","family":"Collazo-Ortega","given":"Margarita","non-dropping-particle":"","parse-names":false,"suffix":""},{"dropping-particle":"","family":"Rosas","given":"Ulises","non-dropping-particle":"","parse-names":false,"suffix":""},{"dropping-particle":"","family":"Reyes-Santiago","given":"Jerónimo","non-dropping-particle":"","parse-names":false,"suffix":""}],"container-title":"PLoS Currents","id":"ITEM-2","issued":{"date-parts":[["2017"]]},"page":"1-19","title":"Towards Providing Solutions to the Air Quality Crisis in the Mexico City Metropolitan Area: Carbon Sequestration by Succulent Species in Green Roofs","type":"article-journal"},"uris":["http://www.mendeley.com/documents/?uuid=d2716006-ca04-42d3-aff2-0a94eb71c19f"]},{"id":"ITEM-3","itemData":{"DOI":"10.1016/j.ecolind.2014.10.016","ISSN":"1470160X","abstract":"Green roofs which use sewage sludge to sequestrate urban carbon dioxide may represent a potential opportunity to evaluate carbon sequestration benefits for the urban development under increasing global climate change. In this study, green roofs composed of 6 small green segments with two different substrates, mixed-sewage-sludge substrate (MSSS, volume ratio of sewage sludge and local-natural soil 1:1), and local-natural soil (LNS), three different substrate depths (20 cm, 25 cm and 30 cm), and three types of native plants (Ligustrum vicaryi, Neottia auriculata, and Liriope spicata) in Chengdu City were established to determine carbon sequestration from July 2012 to July 2013 through assessment of the carbon storage and sequestration. Results show that the average carbon storage of MSSS and LNS on green roofs was respectively 13.15 kg C m-2 and 8.58 kg C m-2, and the average carbon sequestration followed the order of LNS (3.89 kg C m-2 yr-1) &gt; MSSS (3.81 kg C m-2 yr-1). Thus MSSS could be considered as a potential material for carbon sequestration. The carbon storage and carbon sequestration by native plants on the green roofs followed the order of L. vicaryi &gt; L. spicata &gt; N. auriculata. The whole green roof had a mean carbon storage of 18.28 kg C m-2 and average carbon sequestration of 6.47 kg C m-2 yr-1 in the combined biomass and substrate organic matter. The best green roof configuration was L. vicaryi together with MSSS substrate, with a middle-high level of carbon sequestration. It will be feasible and worthwhile to scale-up the adaptable green roof configurations in Chengdu World Modern Garden City.","author":[{"dropping-particle":"","family":"Luo","given":"Hongbing","non-dropping-particle":"","parse-names":false,"suffix":""},{"dropping-particle":"","family":"Liu","given":"Xiaoling","non-dropping-particle":"","parse-names":false,"suffix":""},{"dropping-particle":"","family":"Anderson","given":"Bruce C.","non-dropping-particle":"","parse-names":false,"suffix":""},{"dropping-particle":"","family":"Zhang","given":"Ke","non-dropping-particle":"","parse-names":false,"suffix":""},{"dropping-particle":"","family":"Li","given":"Xiaoting","non-dropping-particle":"","parse-names":false,"suffix":""},{"dropping-particle":"","family":"Huang","given":"Bo","non-dropping-particle":"","parse-names":false,"suffix":""},{"dropping-particle":"","family":"Li","given":"Mei","non-dropping-particle":"","parse-names":false,"suffix":""},{"dropping-particle":"","family":"Mo","given":"You","non-dropping-particle":"","parse-names":false,"suffix":""},{"dropping-particle":"","family":"Fan","given":"Liangqian","non-dropping-particle":"","parse-names":false,"suffix":""},{"dropping-particle":"","family":"Shen","given":"Qiong","non-dropping-particle":"","parse-names":false,"suffix":""},{"dropping-particle":"","family":"Chen","given":"Fenghui","non-dropping-particle":"","parse-names":false,"suffix":""},{"dropping-particle":"","family":"Jiang","given":"Mingshu","non-dropping-particle":"","parse-names":false,"suffix":""}],"container-title":"Ecological Indicators","id":"ITEM-3","issued":{"date-parts":[["2015"]]},"page":"247-259","publisher":"Elsevier Ltd","title":"Carbon sequestration potential of green roofs using mixed-sewage-sludge substrate in Chengdu World Modern Garden City","type":"article-journal","volume":"49"},"uris":["http://www.mendeley.com/documents/?uuid=68a961c7-1f47-4292-b976-31203a59a61e"]},{"id":"ITEM-4","itemData":{"DOI":"10.1007/s13593-014-0230-9","ISBN":"1359301402","ISSN":"17730155","abstract":"Green roofs recover green spaces in urban areas and benefit the public, farmers, and wildlife by providing many environmental, ecological, and economic advantages. Green roofs reduce stormwater runoff, mitigate urban heat island effects, absorb dust and smog, sequester carbon dioxide, produce oxygen, create space for food production, and provide natural habitat for animals and plants. Here, we studied the environmental impact of green roofs in terms of runoff quality and greenhouse gas CO2 sequestration. We screened more than 650 scientific papers and we reviewed detailed findings from 52 publications. There are two major points: (1) Concerning pollution, the concentrations of minor pollutants, such as heavy metals, biochemical oxygen demand (BOD), total suspended solids (TSS), and turbidity, are small and thus do not pose an immediate threat to the environment. However, the concentrations of major pollutants, such as nitrogen of 0.49–9.01 mg/l and phosphorus of 0.04–25 mg/l, vary highly for different green roofs and can adversely affect runoff quality. Nutrient leaching may be controllable through proper mitigation measures including better design and system management which require further research. According to both laboratory experiments and field monitoring data, the main factors affecting runoff quality are precipitation properties, growth media composition and depth, plant species, and maintenance protocols. Research gaps exist in quantifying how these factors affect leachate pollutant load. Systematic studies are needed for improving green roof designs to reduce adverse impacts. (2) Concerning CO2 sequestration, studies reveal that green roofs directly sequester substantial amounts of carbon in plants and soils through photosynthesis. Green roofs reduce ambient CO2 concentrations in the vicinities. Green roofs also indirectly reduce CO2 releases from power plants and furnaces by reducing demand for heating and cooling, suggesting long-term economic and environmental benefits of green roofs.","author":[{"dropping-particle":"","family":"Li","given":"Yanling","non-dropping-particle":"","parse-names":false,"suffix":""},{"dropping-particle":"","family":"Babcock","given":"Roger W.","non-dropping-particle":"","parse-names":false,"suffix":""}],"container-title":"Agronomy for Sustainable Development","id":"ITEM-4","issue":"4","issued":{"date-parts":[["2014"]]},"page":"695-705","title":"Green roofs against pollution and climate change. A review","type":"article-journal","volume":"34"},"uris":["http://www.mendeley.com/documents/?uuid=be87a3b7-4473-4038-a42e-333eaef95f7c"]}],"mendeley":{"formattedCitation":"(Collazo-Ortega et al., 2017; Li &amp; Babcock, 2014; Luo et al., 2015; Rowe, 2011)","plainTextFormattedCitation":"(Collazo-Ortega et al., 2017; Li &amp; Babcock, 2014; Luo et al., 2015; Rowe, 2011)","previouslyFormattedCitation":"(Collazo-Ortega et al., 2017; Li &amp; Babcock, 2014; Luo et al., 2015; Rowe, 2011)"},"properties":{"noteIndex":0},"schema":"https://github.com/citation-style-language/schema/raw/master/csl-citation.json"}</w:instrText>
      </w:r>
      <w:r w:rsidR="00955F89" w:rsidRPr="00C53FC3">
        <w:rPr>
          <w:rFonts w:ascii="Arial" w:hAnsi="Arial" w:cs="Arial"/>
          <w:sz w:val="24"/>
          <w:szCs w:val="24"/>
        </w:rPr>
        <w:fldChar w:fldCharType="separate"/>
      </w:r>
      <w:r w:rsidR="00042957" w:rsidRPr="00C53FC3">
        <w:rPr>
          <w:rFonts w:ascii="Arial" w:hAnsi="Arial" w:cs="Arial"/>
          <w:noProof/>
          <w:sz w:val="24"/>
          <w:szCs w:val="24"/>
        </w:rPr>
        <w:t>(Collazo-Ortega et al., 2017; Li &amp; Babcock, 2014; Luo et al., 2015; Rowe, 2011)</w:t>
      </w:r>
      <w:r w:rsidR="00955F89" w:rsidRPr="00C53FC3">
        <w:rPr>
          <w:rFonts w:ascii="Arial" w:hAnsi="Arial" w:cs="Arial"/>
          <w:sz w:val="24"/>
          <w:szCs w:val="24"/>
        </w:rPr>
        <w:fldChar w:fldCharType="end"/>
      </w:r>
    </w:p>
    <w:p w14:paraId="5F150D7B" w14:textId="01844637" w:rsidR="00C53FC3" w:rsidRDefault="00C53FC3" w:rsidP="00C53FC3">
      <w:pPr>
        <w:pStyle w:val="Prrafodelista"/>
        <w:numPr>
          <w:ilvl w:val="0"/>
          <w:numId w:val="7"/>
        </w:numPr>
        <w:spacing w:line="360" w:lineRule="auto"/>
        <w:jc w:val="both"/>
        <w:rPr>
          <w:rFonts w:ascii="Arial" w:hAnsi="Arial" w:cs="Arial"/>
          <w:sz w:val="24"/>
          <w:szCs w:val="24"/>
        </w:rPr>
      </w:pPr>
      <w:proofErr w:type="spellStart"/>
      <w:r>
        <w:rPr>
          <w:rFonts w:ascii="Arial" w:hAnsi="Arial" w:cs="Arial"/>
          <w:sz w:val="24"/>
          <w:szCs w:val="24"/>
        </w:rPr>
        <w:t>G</w:t>
      </w:r>
      <w:r w:rsidR="00955F89" w:rsidRPr="00C53FC3">
        <w:rPr>
          <w:rFonts w:ascii="Arial" w:hAnsi="Arial" w:cs="Arial"/>
          <w:sz w:val="24"/>
          <w:szCs w:val="24"/>
        </w:rPr>
        <w:t>estión</w:t>
      </w:r>
      <w:proofErr w:type="spellEnd"/>
      <w:r w:rsidR="00955F89" w:rsidRPr="00C53FC3">
        <w:rPr>
          <w:rFonts w:ascii="Arial" w:hAnsi="Arial" w:cs="Arial"/>
          <w:sz w:val="24"/>
          <w:szCs w:val="24"/>
        </w:rPr>
        <w:t xml:space="preserve"> de </w:t>
      </w:r>
      <w:proofErr w:type="spellStart"/>
      <w:r w:rsidR="00955F89" w:rsidRPr="00C53FC3">
        <w:rPr>
          <w:rFonts w:ascii="Arial" w:hAnsi="Arial" w:cs="Arial"/>
          <w:sz w:val="24"/>
          <w:szCs w:val="24"/>
        </w:rPr>
        <w:t>aguas</w:t>
      </w:r>
      <w:proofErr w:type="spellEnd"/>
      <w:r w:rsidR="00955F89" w:rsidRPr="00C53FC3">
        <w:rPr>
          <w:rFonts w:ascii="Arial" w:hAnsi="Arial" w:cs="Arial"/>
          <w:sz w:val="24"/>
          <w:szCs w:val="24"/>
        </w:rPr>
        <w:t xml:space="preserve"> </w:t>
      </w:r>
      <w:proofErr w:type="spellStart"/>
      <w:r w:rsidR="00955F89" w:rsidRPr="00C53FC3">
        <w:rPr>
          <w:rFonts w:ascii="Arial" w:hAnsi="Arial" w:cs="Arial"/>
          <w:sz w:val="24"/>
          <w:szCs w:val="24"/>
        </w:rPr>
        <w:t>pluviales</w:t>
      </w:r>
      <w:proofErr w:type="spellEnd"/>
      <w:r>
        <w:rPr>
          <w:rFonts w:ascii="Arial" w:hAnsi="Arial" w:cs="Arial"/>
          <w:sz w:val="24"/>
          <w:szCs w:val="24"/>
        </w:rPr>
        <w:t xml:space="preserve"> y </w:t>
      </w:r>
      <w:proofErr w:type="spellStart"/>
      <w:r>
        <w:rPr>
          <w:rFonts w:ascii="Arial" w:hAnsi="Arial" w:cs="Arial"/>
          <w:sz w:val="24"/>
          <w:szCs w:val="24"/>
        </w:rPr>
        <w:t>recuperación</w:t>
      </w:r>
      <w:proofErr w:type="spellEnd"/>
      <w:r>
        <w:rPr>
          <w:rFonts w:ascii="Arial" w:hAnsi="Arial" w:cs="Arial"/>
          <w:sz w:val="24"/>
          <w:szCs w:val="24"/>
        </w:rPr>
        <w:t xml:space="preserve"> de </w:t>
      </w:r>
      <w:proofErr w:type="spellStart"/>
      <w:r>
        <w:rPr>
          <w:rFonts w:ascii="Arial" w:hAnsi="Arial" w:cs="Arial"/>
          <w:sz w:val="24"/>
          <w:szCs w:val="24"/>
        </w:rPr>
        <w:t>superficie</w:t>
      </w:r>
      <w:proofErr w:type="spellEnd"/>
      <w:r>
        <w:rPr>
          <w:rFonts w:ascii="Arial" w:hAnsi="Arial" w:cs="Arial"/>
          <w:sz w:val="24"/>
          <w:szCs w:val="24"/>
        </w:rPr>
        <w:t xml:space="preserve"> permeable</w:t>
      </w:r>
      <w:r w:rsidR="00955F89" w:rsidRPr="00C53FC3">
        <w:rPr>
          <w:rFonts w:ascii="Arial" w:hAnsi="Arial" w:cs="Arial"/>
          <w:sz w:val="24"/>
          <w:szCs w:val="24"/>
        </w:rPr>
        <w:t xml:space="preserve"> </w:t>
      </w:r>
      <w:r w:rsidR="00955F89" w:rsidRPr="00C53FC3">
        <w:rPr>
          <w:rFonts w:ascii="Arial" w:hAnsi="Arial" w:cs="Arial"/>
          <w:sz w:val="24"/>
          <w:szCs w:val="24"/>
        </w:rPr>
        <w:fldChar w:fldCharType="begin" w:fldLock="1"/>
      </w:r>
      <w:r w:rsidR="00163D31">
        <w:rPr>
          <w:rFonts w:ascii="Arial" w:hAnsi="Arial" w:cs="Arial"/>
          <w:sz w:val="24"/>
          <w:szCs w:val="24"/>
        </w:rPr>
        <w:instrText>ADDIN CSL_CITATION {"citationItems":[{"id":"ITEM-1","itemData":{"author":[{"dropping-particle":"","family":"Liu","given":"Li","non-dropping-particle":"","parse-names":false,"suffix":""},{"dropping-particle":"","family":"Sun","given":"Liwei","non-dropping-particle":"","parse-names":false,"suffix":""},{"dropping-particle":"","family":"Niu","given":"Jie","non-dropping-particle":"","parse-names":false,"suffix":""},{"dropping-particle":"","family":"Riley","given":"William J","non-dropping-particle":"","parse-names":false,"suffix":""}],"id":"ITEM-1","issued":{"date-parts":[["2020"]]},"title":"Modeling Green Roof Potential to Mitigate Urban Flooding in a Chinese City","type":"article-journal"},"uris":["http://www.mendeley.com/documents/?uuid=cafd2ba3-fb87-42ec-a848-172cc3167b5e"]},{"id":"ITEM-2","itemData":{"ISBN":"2002010010053","ISSN":"03704661","abstract":"Flash floods in urban areas caused by overload of drainage networks are a recurrent problem of raising importance. Greenroofs retain part of the stormwater, lowering surface flow and generating runoff hydrographs with lower and delayed peak flows. Therefore, this technology can contribute to mitigate the overload of drainage networks. The results of the study that was carried out in City of Buenos Aires along almost two years, showed that the retention capacity of the tested lots tasted varied, depending upon precipitation, coverage and depth of the substrate. With precipitation less than or equal to 20 mm, the retention fraction was high (73% to 100%), and when precipitation reached 35 to 40 mm, the maximum percentage of retention was around 60%. However, when the rainfall was approximately 100 mm, the retention fraction was reduced substantially, reaching values nearing 30%. The results of the test showed that green roofs system represent a good alternative in the integrated management of water runoff in urban watersheds.","author":[{"dropping-particle":"","family":"Rosatto","given":"Héctor","non-dropping-particle":"","parse-names":false,"suffix":""},{"dropping-particle":"","family":"Meyer","given":"Maia","non-dropping-particle":"","parse-names":false,"suffix":""},{"dropping-particle":"","family":"Laureda","given":"Daniel","non-dropping-particle":"","parse-names":false,"suffix":""},{"dropping-particle":"","family":"Cazorla","given":"Laura","non-dropping-particle":"","parse-names":false,"suffix":""},{"dropping-particle":"","family":"Barrera","given":"Daniel","non-dropping-particle":"","parse-names":false,"suffix":""},{"dropping-particle":"","family":"Gamboa","given":"Paula","non-dropping-particle":"","parse-names":false,"suffix":""},{"dropping-particle":"","family":"Villalba","given":"Gustavo","non-dropping-particle":"","parse-names":false,"suffix":""},{"dropping-particle":"","family":"Bargiela","given":"Martha","non-dropping-particle":"","parse-names":false,"suffix":""},{"dropping-particle":"","family":"Pruzzo","given":"Laura","non-dropping-particle":"","parse-names":false,"suffix":""},{"dropping-particle":"","family":"Plaza","given":"Luis Rodríguez","non-dropping-particle":"","parse-names":false,"suffix":""},{"dropping-particle":"","family":"Mazzeo","given":"Nadia","non-dropping-particle":"","parse-names":false,"suffix":""},{"dropping-particle":"","family":"Caso","given":"César","non-dropping-particle":"","parse-names":false,"suffix":""},{"dropping-particle":"","family":"Rocca","given":"Carlos","non-dropping-particle":"","parse-names":false,"suffix":""},{"dropping-particle":"","family":"Patricia","given":"Hashimoto","non-dropping-particle":"","parse-names":false,"suffix":""},{"dropping-particle":"","family":"Kohan","given":"Diana","non-dropping-particle":"","parse-names":false,"suffix":""},{"dropping-particle":"","family":"Quaintenne","given":"Elina","non-dropping-particle":"","parse-names":false,"suffix":""}],"container-title":"Revista de la Facultad de Ciencias Agrarias","id":"ITEM-2","issue":"1","issued":{"date-parts":[["2013"]]},"page":"169-183","title":"Eficiencia en la retención del agua de lluvia de cubiertas vegetadas de tipo \"extensivo\" e \"intensivo\"","type":"article-journal","volume":"45"},"uris":["http://www.mendeley.com/documents/?uuid=35d9b374-0a5c-4850-82f5-d38ce2da70fb"]},{"id":"ITEM-3","itemData":{"DOI":"10.11144/Javeriana.IYU18-2.hahb","ISSN":"01232126","abstract":"In the present study, the hydrologic attenuation of an ecoproductive green roof is assessed using three indicators: lag-time, runoff coefficient and water volume retention. Two types of plants-an herbaceous (Lactuca sativa) and a Cruciferae (Raphanus sativus)-were utilized in this analysis of eight rain events monitored on four houses in the La Isla neighborhood of Soacha, Colombia (4° 34’ 22.3”, 74° 10’ 53.5”; 2,701 meters above sea level). Maximum lag-times, volumetric retention percentage and minimum equivalent runoff coefficients of 32 minutes, 80% and 0.1, respectively, were obtained. The hydrologic benefits of implementing such green roofs is determined by comparing the drainage infrastructure required with and without green roofs and by assessing the probability of flooding at the study site with or without green roofs. In order to analyze these benefits, the Monte Carlo simulation method allows observation of the hydraulic behavior of sewers in drainage areas where green roofs are implemented. When the green roofs are installed, a maximum savings (in economic terms) of approximately 22% and a reduction in flooding probability of approximately 35% are observed.","author":[{"dropping-particle":"","family":"Oviedo","given":"Nicolás","non-dropping-particle":"","parse-names":false,"suffix":""},{"dropping-particle":"","family":"Torres","given":"Andrés","non-dropping-particle":"","parse-names":false,"suffix":""}],"container-title":"Ingenieria y Universidad","id":"ITEM-3","issue":"2","issued":{"date-parts":[["2014"]]},"page":"291-308","title":"Atenuación hídrica y beneficios hidrológicos debido a la implementación de techos verdes ecoproductivos en zonas urbanas marginadas","type":"article-journal","volume":"18"},"uris":["http://www.mendeley.com/documents/?uuid=c154c335-7cbc-422f-ac47-e0300b764b45"]},{"id":"ITEM-4","itemData":{"DOI":"10.3390/w12051456","ISSN":"20734441","abstract":"Urban water systems face severe challenges such as urbanisation, population growth and climate change. Traditional technical solutions, i.e., pipe-based, grey infrastructure, have a single purpose and are proven to be unsustainable compared to multi-purpose nature-based solutions. Green Infrastructure encompasses on-site stormwater management practices, which, in contrast to the centralised grey infrastructure, are often decentralised. Technologies such as green roofs, walls, trees, infiltration trenches, wetlands, rainwater harvesting and permeable pavements exhibit multi-functionality. They are capable of reducing stormwater runoff, retaining stormwater in the landscape, preserving the natural water balance, enhancing local climate resilience and also delivering ecological, social and community services. Creating multi-functional, multiple-benefit systems, however, also warrants multidisciplinary approaches involving landscape architects, urban planners, engineers and more to successfully create a balance between cities and nature. This Special Issue aims to bridge this multidisciplinary research gap by collecting recent challenges and opportunities from on-site systems up to the watershed scale.","author":[{"dropping-particle":"","family":"Sitzenfrei","given":"Robert","non-dropping-particle":"","parse-names":false,"suffix":""},{"dropping-particle":"","family":"Kleidorfer","given":"Manfred","non-dropping-particle":"","parse-names":false,"suffix":""},{"dropping-particle":"","family":"Bach","given":"Peter M.","non-dropping-particle":"","parse-names":false,"suffix":""},{"dropping-particle":"","family":"Bacchin","given":"Taneha Kuzniecow","non-dropping-particle":"","parse-names":false,"suffix":""}],"container-title":"Water (Switzerland)","id":"ITEM-4","issue":"5","issued":{"date-parts":[["2020"]]},"page":"10-13","title":"Green infrastructures for urban water system: Balance between cities and nature","type":"article-journal","volume":"12"},"uris":["http://www.mendeley.com/documents/?uuid=cb535029-274f-41ff-b88a-f4e8bb75a501"]},{"id":"ITEM-5","itemData":{"DOI":"10.1016/j.landurbplan.2005.02.010","ISSN":"01692046","abstract":"During the last two decades, a large amount of research has been published in German on the reduction of rainwater runoff for different types of roof greening. This paper analyzes the original measurements reported in 18 publications. Rainfall-runoff relationships for an annual and seasonal time scale were obtained from the analysis of the available 628 data records. The derived empirical models allowed us to assess the surface runoff from various types of roofs, when roof characteristics and the annual or seasonal precipitation are given. The annual rainfall-runoff relationship for green roofs is strongly determined by the depth of the substrate layer. The retention of rainwater on green roofs is lower in winter than in summer. The application of the derived annual relationship for the region of Brussels showed that extensive roof greening on just 10% of the buildings would already results in a runoff reduction of 2.7% for the region and of 54% for the individual buildings. Green roofs can therefore be a useful tool for reducing urban rainfall runoff. Yet in order to provide a greater effect on overall runoff they should be accompanied by other means of runoff reduction and/or water retention. © 2005 Elsevier B.V. All rights reserved.","author":[{"dropping-particle":"","family":"Mentens","given":"Jeroen","non-dropping-particle":"","parse-names":false,"suffix":""},{"dropping-particle":"","family":"Raes","given":"Dirk","non-dropping-particle":"","parse-names":false,"suffix":""},{"dropping-particle":"","family":"Hermy","given":"Martin","non-dropping-particle":"","parse-names":false,"suffix":""}],"container-title":"Landscape and Urban Planning","id":"ITEM-5","issue":"3","issued":{"date-parts":[["2006"]]},"page":"217-226","title":"Green roofs as a tool for solving the rainwater runoff problem in the urbanized 21st century?","type":"article-journal","volume":"77"},"uris":["http://www.mendeley.com/documents/?uuid=0aec2566-573c-45ec-afe8-e124216d2f68"]}],"mendeley":{"formattedCitation":"(Liu et al., 2020; Mentens et al., 2006; Oviedo &amp; Torres, 2014; Rosatto et al., 2013; Sitzenfrei et al., 2020)","plainTextFormattedCitation":"(Liu et al., 2020; Mentens et al., 2006; Oviedo &amp; Torres, 2014; Rosatto et al., 2013; Sitzenfrei et al., 2020)","previouslyFormattedCitation":"(Liu et al., 2020; Mentens et al., 2006; Oviedo &amp; Torres, 2014; Rosatto et al., 2013; Sitzenfrei et al., 2020)"},"properties":{"noteIndex":0},"schema":"https://github.com/citation-style-language/schema/raw/master/csl-citation.json"}</w:instrText>
      </w:r>
      <w:r w:rsidR="00955F89" w:rsidRPr="00C53FC3">
        <w:rPr>
          <w:rFonts w:ascii="Arial" w:hAnsi="Arial" w:cs="Arial"/>
          <w:sz w:val="24"/>
          <w:szCs w:val="24"/>
        </w:rPr>
        <w:fldChar w:fldCharType="separate"/>
      </w:r>
      <w:r w:rsidR="00042957" w:rsidRPr="00C53FC3">
        <w:rPr>
          <w:rFonts w:ascii="Arial" w:hAnsi="Arial" w:cs="Arial"/>
          <w:noProof/>
          <w:sz w:val="24"/>
          <w:szCs w:val="24"/>
        </w:rPr>
        <w:t>(Liu et al., 2020; Mentens et al., 2006; Oviedo &amp; Torres, 2014; Rosatto et al., 2013; Sitzenfrei et al., 2020)</w:t>
      </w:r>
      <w:r w:rsidR="00955F89" w:rsidRPr="00C53FC3">
        <w:rPr>
          <w:rFonts w:ascii="Arial" w:hAnsi="Arial" w:cs="Arial"/>
          <w:sz w:val="24"/>
          <w:szCs w:val="24"/>
        </w:rPr>
        <w:fldChar w:fldCharType="end"/>
      </w:r>
    </w:p>
    <w:p w14:paraId="6679AE14" w14:textId="03507530" w:rsidR="00955F89" w:rsidRPr="00C53FC3" w:rsidRDefault="00C53FC3" w:rsidP="00C53FC3">
      <w:pPr>
        <w:pStyle w:val="Prrafodelista"/>
        <w:numPr>
          <w:ilvl w:val="0"/>
          <w:numId w:val="7"/>
        </w:numPr>
        <w:spacing w:line="360" w:lineRule="auto"/>
        <w:jc w:val="both"/>
        <w:rPr>
          <w:rFonts w:ascii="Arial" w:hAnsi="Arial" w:cs="Arial"/>
          <w:sz w:val="24"/>
          <w:szCs w:val="24"/>
        </w:rPr>
      </w:pPr>
      <w:proofErr w:type="spellStart"/>
      <w:r>
        <w:rPr>
          <w:rFonts w:ascii="Arial" w:hAnsi="Arial" w:cs="Arial"/>
          <w:sz w:val="24"/>
          <w:szCs w:val="24"/>
        </w:rPr>
        <w:t>R</w:t>
      </w:r>
      <w:r w:rsidR="00955F89" w:rsidRPr="00C53FC3">
        <w:rPr>
          <w:rFonts w:ascii="Arial" w:hAnsi="Arial" w:cs="Arial"/>
          <w:sz w:val="24"/>
          <w:szCs w:val="24"/>
        </w:rPr>
        <w:t>estauración</w:t>
      </w:r>
      <w:proofErr w:type="spellEnd"/>
      <w:r w:rsidR="00955F89" w:rsidRPr="00C53FC3">
        <w:rPr>
          <w:rFonts w:ascii="Arial" w:hAnsi="Arial" w:cs="Arial"/>
          <w:sz w:val="24"/>
          <w:szCs w:val="24"/>
        </w:rPr>
        <w:t xml:space="preserve"> de la </w:t>
      </w:r>
      <w:proofErr w:type="spellStart"/>
      <w:r w:rsidR="00955F89" w:rsidRPr="00C53FC3">
        <w:rPr>
          <w:rFonts w:ascii="Arial" w:hAnsi="Arial" w:cs="Arial"/>
          <w:sz w:val="24"/>
          <w:szCs w:val="24"/>
        </w:rPr>
        <w:t>biodiversidad</w:t>
      </w:r>
      <w:proofErr w:type="spellEnd"/>
      <w:r w:rsidR="00955F89" w:rsidRPr="00C53FC3">
        <w:rPr>
          <w:rFonts w:ascii="Arial" w:hAnsi="Arial" w:cs="Arial"/>
          <w:sz w:val="24"/>
          <w:szCs w:val="24"/>
        </w:rPr>
        <w:t xml:space="preserve"> </w:t>
      </w:r>
      <w:r w:rsidR="00955F89" w:rsidRPr="00C53FC3">
        <w:rPr>
          <w:rFonts w:ascii="Arial" w:hAnsi="Arial" w:cs="Arial"/>
          <w:sz w:val="24"/>
          <w:szCs w:val="24"/>
        </w:rPr>
        <w:fldChar w:fldCharType="begin" w:fldLock="1"/>
      </w:r>
      <w:r w:rsidR="00955F89" w:rsidRPr="00C53FC3">
        <w:rPr>
          <w:rFonts w:ascii="Arial" w:hAnsi="Arial" w:cs="Arial"/>
          <w:sz w:val="24"/>
          <w:szCs w:val="24"/>
        </w:rPr>
        <w:instrText>ADDIN CSL_CITATION {"citationItems":[{"id":"ITEM-1","itemData":{"DOI":"10.1007/s11252-016-0596-3","ISSN":"15731642","abstract":"© 2016, Springer Science+Business Media New York. Green roofs can contribute to enrichment and conservation of urban ecology. An experimental green roof was established in humid-tropical Hong Kong to monitor over two years its spontaneous colonization by plants and bird visits. Some 94 voluntary vascular plant species from 26 families and 76 genera were established, with propagules brought mainly by birds and wind and secondarily inherited from soil seed bank. Plant species composition changed dynamically during the study period. They fall into three groups, namely dominant ruderal (herbaceous and sub-shrub) as surrogate of early-stage local grassland ecosystem succession, arboreal (trees and shrubs), and hygrophilous herb. Progressive increase in vegetation cover was accompanied by changes in species diversity and evenness. In addition, 16 bird species from 8 families and 14 genera were recorded. Ten species were residents and the six migrant species were winter visitors. Their food preference was mainly omnivore and insectivore. Winter and the second year encountered higher species richness, diversity, and evenness. Most vegetation parameters correlated positively with avian community indexes, signifying provision of sustenance by green-roof ecosystem to birds. Vegetation coverage correlated negatively with avian abundance, due to shunning by the abundant ground-foraging Tree Sparrow. Both local common ruderal plant species and common urban bird species can successfully establish and reproduce on the extensive green roof, confirming potentials for urban ecology and biodiversity enhancement and conservation even in densely-developed urban areas. The successful nurturing of naturalistic green roof offers new opportunities for green roof design that deviates from the predominant cultivated-horticultural approach.","author":[{"dropping-particle":"","family":"Deng","given":"Huijuan","non-dropping-particle":"","parse-names":false,"suffix":""},{"dropping-particle":"","family":"Jim","given":"C. Y.","non-dropping-particle":"","parse-names":false,"suffix":""}],"container-title":"Urban Ecosystems","id":"ITEM-1","issue":"2","issued":{"date-parts":[["2017"]]},"page":"337-352","publisher":"Urban Ecosystems","title":"Spontaneous plant colonization and bird visits of tropical extensive green roof","type":"article-journal","volume":"20"},"uris":["http://www.mendeley.com/documents/?uuid=e90107ab-a5e9-4c95-bbe3-a8e2531a8e43"]},{"id":"ITEM-2","itemData":{"DOI":"10.1002/ecs2.1905","ISSN":"21508925","abstract":"Conservation of faunal diversity in highly urbanized landscapes is facilitated through the integration of anthropogenic and natural elements in urban green spaces. Roof gardens have the potential to provide resources for urban wildlife populations, yet they typically offer marginal ecological conditions relative to ground-level habitat so it is necessary to identify the factors associated with focal taxa diversity and abundance to better inform their planning, design, and management. We conducted 20 monthly surveys of diurnal bird and butterfly visitors to 30 urban roof gardens in the tropical city-state of Singapore. Sixty-five site variables were evaluated for their relative importance to four community diversity metrics (species richness, Simpson’s diversity, abundance, and functional dispersion) using a conceptual framework relevant to key stakeholders involved in roof garden planning, design, and management. Surveys from a total of 80 observation hours per site recorded more than 23,000 independent bird and butterfly encounters, comprising 53 bird and 57 butterfly species, which represents 13% and 18% of the avifauna and butterfly fauna in Singapore, respectively. Twenty-four species (12 birds, 12 butterflies) were considered uncommon or rare. Reproductive behaviors (courtship, mating, or nesting) were noted in 35 species (20 birds, 15 butterflies). Understory birds were under-represented, whereas understory butterflies were over-represented compared to the overall Singapore fauna. Early morning noise showed strong negative linear correlations with diversity of both taxa, but this variable was also negatively associated with planted area, perhaps indicating proxy effects. Faunal diversity decreased asymptotically with height. Both managed and spontaneous floral diversity had clear positive effects on bird and butterfly diversity. Our results provide clear indication that tropical urban roof gardens can support a diverse subset of the bird and butterfly species assemblages. Site height, site area, and plant selection are suggested to play dominant roles in determining the attractiveness of roof gardens for wildlife. To a first approximation, roof gardens should be built lower than 50 m in height and contain planted areas larger than 1100 m2, as well as shrubs for birds and both managed and spontaneous nectar plant species for butterflies.","author":[{"dropping-particle":"","family":"Wang","given":"James Wei","non-dropping-particle":"","parse-names":false,"suffix":""},{"dropping-particle":"","family":"Poh","given":"Choon Hock","non-dropping-particle":"","parse-names":false,"suffix":""},{"dropping-particle":"","family":"Tan","given":"Chloe Yi Ting","non-dropping-particle":"","parse-names":false,"suffix":""},{"dropping-particle":"","family":"Lee","given":"Vivien Naomi","non-dropping-particle":"","parse-names":false,"suffix":""},{"dropping-particle":"","family":"Jain","given":"Anuj","non-dropping-particle":"","parse-names":false,"suffix":""},{"dropping-particle":"","family":"Webb","given":"Edward L.","non-dropping-particle":"","parse-names":false,"suffix":""}],"container-title":"Ecosphere","id":"ITEM-2","issue":"9","issued":{"date-parts":[["2017"]]},"title":"Building biodiversity: Drivers of bird and butterfly diversity on tropical urban roof gardens","type":"article-journal","volume":"8"},"uris":["http://www.mendeley.com/documents/?uuid=9adcb57d-fffd-4913-8374-f8dadd73aa05"]},{"id":"ITEM-3","itemData":{"ISSN":"1541-7115","abstract":"Research focusing on the biodiversity potential of green roofs has led to an amendment in building and construction law in Basel, Switzerland. As part of the city's biodiversity strategy, green roofs are now mandatory on new buildings with flat roofs, and guidance is provided for the creation of different plant and animal habitats on the green roofs. Design criteria for the creation of these habitats include varying the substrate thickness and using natural soils from nearby areas. (Studies of green roofs in Zurich, Switzerland, have shown that natural soils can benefit biodiversity through their suitability for locally and regionally endangered species.) The design and construction of green roofs to re-create habitats require close cooperation among all specialists involved. Research and comprehensive planning are also important for creating space on roofs for urban wildlife.","author":[{"dropping-particle":"","family":"Brenneisen","given":"Stephan","non-dropping-particle":"","parse-names":false,"suffix":""}],"container-title":"Urban Habitats","id":"ITEM-3","issue":"1","issued":{"date-parts":[["2006"]]},"page":"27-36","title":"Space for urban wildlife : designing green roofs as habitats in Switzerland","type":"article-journal","volume":"4"},"uris":["http://www.mendeley.com/documents/?uuid=7e5acf4e-1d30-4949-a765-6e26c790230e"]},{"id":"ITEM-4","itemData":{"DOI":"10.1111/1365-2664.12425","ISSN":"13652664","abstract":"Constructed ecosystems such as green roofs often contain monocultures or low-diversity plant communities, but adding more plant species to these systems can increase ecosystem service provisioning. Mixture advantage, when species-rich treatments outperform the best monocultures, is desirable in constructed ecosystems due to the cost of increasing diversity. However, there have not been any studies in constructed ecosystems that have quantitatively compared mixtures with the best monocultures for multifunctionality, and there have been few studies that have examined how provision of ecosystem services changes over time as plant communities develop. In a green roof system, I predicted (i) that the mixture advantage would be stronger for ecosystem multifunctionality than for single ecosystem functions and (ii) that ecosystem service provisioning and complementarity in above-ground biomass would increase over time. Fifteen monocultures of plant species from five life-form groups (succulents, tall forbs, dwarf shrubs, creeping forbs, grasses) were compared with three-species mixtures of the same life-form and mixtures of species from three and five different life-forms in a modular green roof system. Indicators of ecosystem services including above-ground production, thermal regulation, stormwater retention, nutrient uptake and carbon sequestration and two indices of ecosystem multifunctionality were compared. Canopy density increased over time while substrate temperature decreased, suggesting higher provisioning of valuable ecosystem services. For single services, the positive relationship between planted species richness and ecosystem service grew stronger over time, but was consistently strong over time for multifunctionality. Quantile regression indicated a weak mixture advantage for several services including both multifunctionality indices. While the effects were small, different species optimized different functions, thus multifunctioning is enhanced in more diverse mixtures by combining species that maximize different functions. Tripartite partitioning of canopy density showed that overyielding and trait-independent complementarity fluctuated between years in response to shifts in species abundances, but dominance and trait-dependent complementarity increased over time. Synthesis and applications. This study provides the first evidence in a constructed ecosystem that mixtures can outperform the best monocultures for multiple ecosystem services. Mixtu…","author":[{"dropping-particle":"","family":"Lundholm","given":"Jeremy T.","non-dropping-particle":"","parse-names":false,"suffix":""}],"container-title":"Journal of Applied Ecology","id":"ITEM-4","issue":"3","issued":{"date-parts":[["2015"]]},"page":"726-734","title":"Green roof plant species diversity improves ecosystem multifunctionality","type":"article-journal","volume":"52"},"uris":["http://www.mendeley.com/documents/?uuid=930a6f3c-62c8-42b2-92b8-8f4ff418bcd3"]},{"id":"ITEM-5","itemData":{"DOI":"10.3390/su10040985","ISSN":"20711050","abstract":"Green roofs and walls have recently emerged as conservation tools, and they offer promising additional opportunities to enhance biodiversity in cities. However, their ecological conditions remain poorly considered when planning wildlife corridors. To discuss the role of vegetated buildings in landscape connectivity, we reviewed the ecological and technical specificities of green walls and green roofs in light of the key factors concerning urban wildlife (patch size, quality, abundance, and isolation). Green roofs and walls show limited patch sizes, distinct habitat quality at the building scale, and limited redundancy of patch quality within the landscape. We also highlight that the abundance of roof and wall patches is often low. Future research is needed to establish if walls can be vertical corridors for wildlife, thereby reducing the isolation of green roofs. We argue that creating 3D ecological connectivity within the city requires substantial modifications of the design and maintenance of existing green building systems. We suggest that research is needed to integrate the biotic and abiotic characteristics of green buildings to make them more closely resemble those of open green spaces.","author":[{"dropping-particle":"","family":"Mayrand","given":"Flavie","non-dropping-particle":"","parse-names":false,"suffix":""},{"dropping-particle":"","family":"Clergeau","given":"Philippe","non-dropping-particle":"","parse-names":false,"suffix":""}],"container-title":"Sustainability (Switzerland)","id":"ITEM-5","issue":"4","issued":{"date-parts":[["2018"]]},"title":"Green roofs and greenwalls for biodiversity conservation: A contribution to urban connectivity?","type":"article-journal","volume":"10"},"uris":["http://www.mendeley.com/documents/?uuid=0af7ca5e-c695-4be5-85dd-b6c2693080d3"]}],"mendeley":{"formattedCitation":"(Brenneisen, 2006; Deng &amp; Jim, 2017; Lundholm, 2015; Mayrand &amp; Clergeau, 2018; Wang et al., 2017)","plainTextFormattedCitation":"(Brenneisen, 2006; Deng &amp; Jim, 2017; Lundholm, 2015; Mayrand &amp; Clergeau, 2018; Wang et al., 2017)","previouslyFormattedCitation":"(Brenneisen, 2006; Deng &amp; Jim, 2017; Lundholm, 2015; Mayrand &amp; Clergeau, 2018; Wang et al., 2017)"},"properties":{"noteIndex":0},"schema":"https://github.com/citation-style-language/schema/raw/master/csl-citation.json"}</w:instrText>
      </w:r>
      <w:r w:rsidR="00955F89" w:rsidRPr="00C53FC3">
        <w:rPr>
          <w:rFonts w:ascii="Arial" w:hAnsi="Arial" w:cs="Arial"/>
          <w:sz w:val="24"/>
          <w:szCs w:val="24"/>
        </w:rPr>
        <w:fldChar w:fldCharType="separate"/>
      </w:r>
      <w:r w:rsidR="00955F89" w:rsidRPr="00C53FC3">
        <w:rPr>
          <w:rFonts w:ascii="Arial" w:hAnsi="Arial" w:cs="Arial"/>
          <w:noProof/>
          <w:sz w:val="24"/>
          <w:szCs w:val="24"/>
        </w:rPr>
        <w:t>(Brenneisen, 2006; Deng &amp; Jim, 2017; Lundholm, 2015; Mayrand &amp; Clergeau, 2018; Wang et al., 2017)</w:t>
      </w:r>
      <w:r w:rsidR="00955F89" w:rsidRPr="00C53FC3">
        <w:rPr>
          <w:rFonts w:ascii="Arial" w:hAnsi="Arial" w:cs="Arial"/>
          <w:sz w:val="24"/>
          <w:szCs w:val="24"/>
        </w:rPr>
        <w:fldChar w:fldCharType="end"/>
      </w:r>
      <w:r w:rsidR="00955F89" w:rsidRPr="00C53FC3">
        <w:rPr>
          <w:rFonts w:ascii="Arial" w:hAnsi="Arial" w:cs="Arial"/>
          <w:sz w:val="24"/>
          <w:szCs w:val="24"/>
        </w:rPr>
        <w:t>.</w:t>
      </w:r>
    </w:p>
    <w:p w14:paraId="475FBA43" w14:textId="77777777" w:rsidR="00F94764" w:rsidRDefault="001E6539" w:rsidP="00F94764">
      <w:pPr>
        <w:spacing w:line="360" w:lineRule="auto"/>
        <w:jc w:val="both"/>
        <w:rPr>
          <w:rFonts w:ascii="Arial" w:hAnsi="Arial" w:cs="Arial"/>
          <w:sz w:val="24"/>
          <w:szCs w:val="24"/>
        </w:rPr>
      </w:pPr>
      <w:r w:rsidRPr="001E6539">
        <w:rPr>
          <w:rFonts w:ascii="Arial" w:hAnsi="Arial" w:cs="Arial"/>
          <w:sz w:val="24"/>
          <w:szCs w:val="24"/>
        </w:rPr>
        <w:t xml:space="preserve">El </w:t>
      </w:r>
      <w:r>
        <w:rPr>
          <w:rFonts w:ascii="Arial" w:hAnsi="Arial" w:cs="Arial"/>
          <w:sz w:val="24"/>
          <w:szCs w:val="24"/>
        </w:rPr>
        <w:t>techo verde convencional</w:t>
      </w:r>
      <w:r w:rsidRPr="001E6539">
        <w:rPr>
          <w:rFonts w:ascii="Arial" w:hAnsi="Arial" w:cs="Arial"/>
          <w:sz w:val="24"/>
          <w:szCs w:val="24"/>
        </w:rPr>
        <w:t xml:space="preserve"> es considerad</w:t>
      </w:r>
      <w:r w:rsidR="000D1B60">
        <w:rPr>
          <w:rFonts w:ascii="Arial" w:hAnsi="Arial" w:cs="Arial"/>
          <w:sz w:val="24"/>
          <w:szCs w:val="24"/>
        </w:rPr>
        <w:t>o</w:t>
      </w:r>
      <w:r w:rsidRPr="001E6539">
        <w:rPr>
          <w:rFonts w:ascii="Arial" w:hAnsi="Arial" w:cs="Arial"/>
          <w:sz w:val="24"/>
          <w:szCs w:val="24"/>
        </w:rPr>
        <w:t xml:space="preserve"> como una tecnología amigable con el medio ambiente, pero a partir de análisis de ciclo de vida (ACV) se ha demostrado que cuentan con una huella de carbono aproximadamente de 22.13kgCO</w:t>
      </w:r>
      <w:r w:rsidRPr="00F94764">
        <w:rPr>
          <w:rFonts w:ascii="Arial" w:hAnsi="Arial" w:cs="Arial"/>
          <w:sz w:val="24"/>
          <w:szCs w:val="24"/>
          <w:vertAlign w:val="subscript"/>
        </w:rPr>
        <w:t>2</w:t>
      </w:r>
      <w:r w:rsidRPr="001E6539">
        <w:rPr>
          <w:rFonts w:ascii="Arial" w:hAnsi="Arial" w:cs="Arial"/>
          <w:sz w:val="24"/>
          <w:szCs w:val="24"/>
        </w:rPr>
        <w:t>eq/m</w:t>
      </w:r>
      <w:r w:rsidRPr="00F94764">
        <w:rPr>
          <w:rFonts w:ascii="Arial" w:hAnsi="Arial" w:cs="Arial"/>
          <w:sz w:val="24"/>
          <w:szCs w:val="24"/>
          <w:vertAlign w:val="superscript"/>
        </w:rPr>
        <w:t>2</w:t>
      </w:r>
      <w:r w:rsidRPr="001E6539">
        <w:rPr>
          <w:rFonts w:ascii="Arial" w:hAnsi="Arial" w:cs="Arial"/>
          <w:sz w:val="24"/>
          <w:szCs w:val="24"/>
        </w:rPr>
        <w:t xml:space="preserve"> (</w:t>
      </w:r>
      <w:proofErr w:type="spellStart"/>
      <w:r w:rsidRPr="001E6539">
        <w:rPr>
          <w:rFonts w:ascii="Arial" w:hAnsi="Arial" w:cs="Arial"/>
          <w:sz w:val="24"/>
          <w:szCs w:val="24"/>
        </w:rPr>
        <w:t>Bozorg</w:t>
      </w:r>
      <w:proofErr w:type="spellEnd"/>
      <w:r w:rsidRPr="001E6539">
        <w:rPr>
          <w:rFonts w:ascii="Arial" w:hAnsi="Arial" w:cs="Arial"/>
          <w:sz w:val="24"/>
          <w:szCs w:val="24"/>
        </w:rPr>
        <w:t xml:space="preserve"> </w:t>
      </w:r>
      <w:proofErr w:type="spellStart"/>
      <w:r w:rsidRPr="001E6539">
        <w:rPr>
          <w:rFonts w:ascii="Arial" w:hAnsi="Arial" w:cs="Arial"/>
          <w:sz w:val="24"/>
          <w:szCs w:val="24"/>
        </w:rPr>
        <w:t>Chenani</w:t>
      </w:r>
      <w:proofErr w:type="spellEnd"/>
      <w:r w:rsidRPr="001E6539">
        <w:rPr>
          <w:rFonts w:ascii="Arial" w:hAnsi="Arial" w:cs="Arial"/>
          <w:sz w:val="24"/>
          <w:szCs w:val="24"/>
        </w:rPr>
        <w:t xml:space="preserve"> et al., 2015) generada entre otros factores por los diversos tipos de polímeros </w:t>
      </w:r>
      <w:r>
        <w:rPr>
          <w:rFonts w:ascii="Arial" w:hAnsi="Arial" w:cs="Arial"/>
          <w:sz w:val="24"/>
          <w:szCs w:val="24"/>
        </w:rPr>
        <w:t>dentro de su estructura</w:t>
      </w:r>
      <w:r w:rsidR="00EA3615">
        <w:rPr>
          <w:rFonts w:ascii="Arial" w:hAnsi="Arial" w:cs="Arial"/>
          <w:sz w:val="24"/>
          <w:szCs w:val="24"/>
        </w:rPr>
        <w:t xml:space="preserve">. </w:t>
      </w:r>
    </w:p>
    <w:p w14:paraId="621762EE" w14:textId="19176911" w:rsidR="00F94764" w:rsidRDefault="00EA3615" w:rsidP="00F94764">
      <w:pPr>
        <w:spacing w:line="360" w:lineRule="auto"/>
        <w:jc w:val="both"/>
        <w:rPr>
          <w:rFonts w:ascii="Arial" w:hAnsi="Arial" w:cs="Arial"/>
          <w:sz w:val="24"/>
          <w:szCs w:val="24"/>
        </w:rPr>
      </w:pPr>
      <w:r>
        <w:rPr>
          <w:rFonts w:ascii="Arial" w:hAnsi="Arial" w:cs="Arial"/>
          <w:sz w:val="24"/>
          <w:szCs w:val="24"/>
        </w:rPr>
        <w:t xml:space="preserve">Con el objetivo de disminuir la huella de carbono, y aprovechar ciertos materiales, es posible </w:t>
      </w:r>
      <w:r w:rsidRPr="009A4DB0">
        <w:rPr>
          <w:rFonts w:ascii="Arial" w:hAnsi="Arial" w:cs="Arial"/>
          <w:sz w:val="24"/>
          <w:szCs w:val="24"/>
        </w:rPr>
        <w:t xml:space="preserve">utilizar materiales alternativos como el </w:t>
      </w:r>
      <w:proofErr w:type="spellStart"/>
      <w:r w:rsidRPr="009A4DB0">
        <w:rPr>
          <w:rFonts w:ascii="Arial" w:hAnsi="Arial" w:cs="Arial"/>
          <w:sz w:val="24"/>
          <w:szCs w:val="24"/>
        </w:rPr>
        <w:t>biocarbón</w:t>
      </w:r>
      <w:proofErr w:type="spellEnd"/>
      <w:r w:rsidRPr="009A4DB0">
        <w:rPr>
          <w:rFonts w:ascii="Arial" w:hAnsi="Arial" w:cs="Arial"/>
          <w:sz w:val="24"/>
          <w:szCs w:val="24"/>
        </w:rPr>
        <w:t xml:space="preserve">, caucho y el hidrogel </w:t>
      </w:r>
      <w:r w:rsidRPr="009A4DB0">
        <w:rPr>
          <w:rFonts w:ascii="Arial" w:hAnsi="Arial" w:cs="Arial"/>
          <w:sz w:val="24"/>
          <w:szCs w:val="24"/>
        </w:rPr>
        <w:fldChar w:fldCharType="begin" w:fldLock="1"/>
      </w:r>
      <w:r w:rsidR="00163D31">
        <w:rPr>
          <w:rFonts w:ascii="Arial" w:hAnsi="Arial" w:cs="Arial"/>
          <w:sz w:val="24"/>
          <w:szCs w:val="24"/>
        </w:rPr>
        <w:instrText>ADDIN CSL_CITATION {"citationItems":[{"id":"ITEM-1","itemData":{"DOI":"10.1016/j.scitotenv.2020.138898","ISSN":"18791026","PMID":"32417550","abstract":"Extensive green roofs, in which commercial compost is usually used as organic component, have great potential to mitigate some environmental problems caused by urbanization, but carry risks of nutrients leaching into downstream aquatic. Stabilized sludge (SS) from wastewater treatment plants could be potentially used as nutrient component for green roof, but the effects on effluent quality are uncertain. To investigate the problem, a pilot experiment was conducted under field conditions, the effluent quality of green roof using SS was compared with green roofs using peat soil and controlled release fertilizer. In the field experiment, the nutrient concentrations in effluent of the green roof using SS (TN, NO3−-N, NH4+-N and TP were 3.27 mg/L, 1.75 mg/L, 1.14 mg/L and 0.34 mg/L, respectively) were not significantly different from the green roofs using peat soil and controlled release fertilizer, and the chemical oxygen demand level (92 mg/L) was lower than the roofs using compost or commercial substrate. To reduce the environmental risks caused by the application of SS to green roofs, a laboratory test was carried out to analyze the effects of biochar and dual-substrate structure on nitrogen leaching. The results showed that both biochar and dual-substrate reduced nitrogen leaching, and nitrogen leaching from green roofs using SS was a combined effect of organic nitrogen mineralization during dry period and biological processes during wet period. A high temperature and low humidity environment which is common in green roofs reduced nitrate accumulation during dry period, and nitrate was transformed to other substances in gaseous form by denitrification, which tended to occur in long duration, low intensity rainfall events. The results suggest that the application of stabilized sludge to green roofs is feasible in area where average rain intensity is not high, preferably combined with amendment of biochar and a dual-substrate structure.","author":[{"dropping-particle":"","family":"Qiu","given":"Duanyang","non-dropping-particle":"","parse-names":false,"suffix":""},{"dropping-particle":"","family":"Peng","given":"Hangyu","non-dropping-particle":"","parse-names":false,"suffix":""},{"dropping-particle":"","family":"Li","given":"Tian","non-dropping-particle":"","parse-names":false,"suffix":""},{"dropping-particle":"","family":"Qi","given":"Yue","non-dropping-particle":"","parse-names":false,"suffix":""}],"container-title":"Science of the Total Environment","id":"ITEM-1","issued":{"date-parts":[["2020"]]},"title":"Application of stabilized sludge to extensive green roofs in Shanghai: Feasibility and nitrogen leaching control","type":"article-journal","volume":"732"},"uris":["http://www.mendeley.com/documents/?uuid=d5757d5b-5a7b-4fa6-8c8b-282aa8047a42"]},{"id":"ITEM-2","itemData":{"DOI":"10.1016/j.ecoleng.2015.12.010","ISSN":"09258574","abstract":"The utilisation of ecosystem services has been suggested as one solution to manage urban environmental problems, one of which is the excessive quantity or poor quality stormwater. As roofs contribute significantly to the amount of runoff, vegetated, i.e. green roofs have become an increasingly popular way to manage urban water in densely built areas. However, green roofs may introduce a new source of water pollution evidenced as higher concentrations of nutrients, especially phosphorus, in runoff compared to that in precipitation inputs. In two controlled, replicated experiments, one in the field for 7 months and another in the laboratory for 6 weeks, the amendment of biochar to green roof substrates was studied for its potential to mitigate the leaching of nutrients from newly installed pre-grown green roof Sedum and meadow mats. Nutrient concentrations were an order of magnitude higher in runoff from green roofs than in rain water. In the field experiment, biochar reduced the cumulative leaching of nutrients, even though biochar did not significantly reduce nutrient concentrations. These results can be interpreted as a combined impact of biochar on both the quantity and quality of runoff over time, the quantitative effect being apparently stronger than the qualitative. In the laboratory experiment, one type of biochar reduced nutrient concentrations and load in runoff while another type had an opposite effect. As the properties of biochar can vary considerably, careful studies are necessary before large-scale implementation of biochar amendment in green roofs are considered, to avoid unintended consequences.","author":[{"dropping-particle":"","family":"Kuoppamäki","given":"Kirsi","non-dropping-particle":"","parse-names":false,"suffix":""},{"dropping-particle":"","family":"Hagner","given":"Marleena","non-dropping-particle":"","parse-names":false,"suffix":""},{"dropping-particle":"","family":"Lehvävirta","given":"Susanna","non-dropping-particle":"","parse-names":false,"suffix":""},{"dropping-particle":"","family":"Setälä","given":"Heikki","non-dropping-particle":"","parse-names":false,"suffix":""}],"container-title":"Ecological Engineering","id":"ITEM-2","issued":{"date-parts":[["2015"]]},"page":"1-9","publisher":"Elsevier B.V.","title":"Biochar amendment in the green roof substrate affects runoff quality and quantity","type":"article-journal","volume":"88"},"uris":["http://www.mendeley.com/documents/?uuid=437803a3-75cd-4efb-aa9e-d5ef83771e3d"]},{"id":"ITEM-3","itemData":{"DOI":"10.1016/j.ecoleng.2014.06.017","ISSN":"09258574","abstract":"Green roofs are increasingly being built to manage stormwater runoff in cities. Water-retention additives such as biochar could be a useful way of increasing substrate water holding capacity (WHC) and therefore stormwater retention without increasing substrate weight loading. If this also increases plant available water (PAW), plant selection could be expanded to species with higher water use, further reducing stormwater runoff by drying substrates after rain. We examined the effects of adding one type of green waste biochar (0, 10, 20, 30 and 40%, v/v) to two scoria-based substrates (with or without added organic matter) on WHC, bulk density, PAW and days taken to reach permanent wilting point (PWP). Biochar significantly improved WHC, increasing with greater additions of biochar. Increased water was also plant available, with 30% biochar increasing PAW by 16% (scoria with organic matter) and PWP by 2 days in both substrates. Biochar did not affect plant growth or biomass allocation. Application of 30% biochar was optimal for PAW and delaying PWP. However, as 40% biochar significantly increased WHC, this rate will likely be optimal for stormwater retention, with an additional 2.3cm rainfall/cm area retained in 10cm deep substrates. Biochar also significantly reduced bulk density, substrates with 40% biochar could have an additional 1.5cm/m2 of depth compared to the same weight as scoria only, further increasing PAW and rainfall retention. Consequently, in this study, biochar addition makes green roof substrates lighter and improves plant water supply; potentially expanding plant selection in dry climates and improving their stormwater retention.","author":[{"dropping-particle":"","family":"Cao","given":"Cuong T.N.","non-dropping-particle":"","parse-names":false,"suffix":""},{"dropping-particle":"","family":"Farrell","given":"Claire","non-dropping-particle":"","parse-names":false,"suffix":""},{"dropping-particle":"","family":"Kristiansen","given":"Paul E.","non-dropping-particle":"","parse-names":false,"suffix":""},{"dropping-particle":"","family":"Rayner","given":"John P.","non-dropping-particle":"","parse-names":false,"suffix":""}],"container-title":"Ecological Engineering","id":"ITEM-3","issued":{"date-parts":[["2014"]]},"page":"368-374","publisher":"Elsevier B.V.","title":"Biochar makes green roof substrates lighter and improves water supply to plants","type":"article-journal","volume":"71"},"uris":["http://www.mendeley.com/documents/?uuid=4f95f50a-0ab4-419f-9dab-ce964a916c9e"]},{"id":"ITEM-4","itemData":{"DOI":"10.1016/j.landurbplan.2016.04.006","ISSN":"01692046","abstract":"Green roofs may have great potential for managing urban runoff but their effects on the quality of infiltrating water are highly variable. At worst, it can contain high concentrations of nutrient pollutants, especially phosphorus. We made a survey in southern Finland and found much higher concentrations of phosphorus and nitrogen in runoff from existing green roofs than nearby non-vegetated bituminous and tin roofs. However, metal concentrations in runoff generally exhibited an opposite pattern. Media mixtures with aggregates, such as biochar, have been suggested as a means of retaining nutrients in green roof substrate. Thus, we set up a green roof platform experiment in order to study the amendment of biochar in a substrate consisting of mainly recycled crushed brick, by using two vegetation establishment methods: pre-grown mats and planting with seeds and plug plants. We monitored the effect of biochar on runoff during one year across all four seasons, including winter with periods of freezing and thawing. At the beginning of the experiment we found negligible impacts of biochar, but when the systems had matured for less than one year, biochar retained nutrients. The total annual loads of both nutrients were significantly reduced by biochar amendment in both green roof types. Efficient solutions are needed if urban greening, such as green roofs, is to be applied in a way that does not produce ecosystem disservices like nutrient pollution. According to our results, amending green roof substrates with biochar could be a partial solution to the nutrient pollution problem.","author":[{"dropping-particle":"","family":"Kuoppamäki","given":"Kirsi","non-dropping-particle":"","parse-names":false,"suffix":""},{"dropping-particle":"","family":"Lehvävirta","given":"Susanna","non-dropping-particle":"","parse-names":false,"suffix":""}],"container-title":"Landscape and Urban Planning","id":"ITEM-4","issued":{"date-parts":[["2016"]]},"page":"39-48","publisher":"Elsevier B.V.","title":"Mitigating nutrient leaching from green roofs with biochar","type":"article-journal","volume":"152"},"uris":["http://www.mendeley.com/documents/?uuid=9bab7435-5818-4f35-b617-2c17467c6a9c"]},{"id":"ITEM-5","itemData":{"DOI":"10.15666/aeer/1803_38873896","ISSN":"17850037","abstract":"This study aimed to determine the effects of different amounts of hydrophilic polymer, in three green roof substrates, on the growth of Salvia elegans. Coir dust and perlite were mixed in ratios of 80% to 20% (C4P1), 50% to 50% (C1P1), and 20 to 80% (C1P4) at a substrate depth of 20 cm. Hydrophilic polymer were added to three substrates in the amounts of 0, 0.25, 0.5, 1.0, and 2.0 kg·m-3. The survival rate and visual quality of Salvia elegans were positively associated with hydrophilic polymer content in the three substrates. Although the growth of Salvia elegans was the greatest under the C4P1 substrate when measured in June (dry season), the greatest growth under the C1P4 substrate was in August (rainy season). Therefore, C4P1 and C1P1 substrates with high coir dust materials is not recommended for Salvia elegans because the plants showed low growth and chlorophyll contents in the rainy season and poor flowering with these substrates. Thus, perlite-based C1P4 amended with hydrophilic polymer at a level of &gt; 1.0 kg·m-3 should be considered for the optimal substrate for Salvia elegans during droughts as well as rainy seasons on green roofs.","author":[{"dropping-particle":"","family":"Ju","given":"J. H.","non-dropping-particle":"","parse-names":false,"suffix":""},{"dropping-particle":"","family":"Xu","given":"H.","non-dropping-particle":"","parse-names":false,"suffix":""},{"dropping-particle":"","family":"Yeum","given":"K. J.","non-dropping-particle":"","parse-names":false,"suffix":""},{"dropping-particle":"","family":"Yoon","given":"Y. H.","non-dropping-particle":"","parse-names":false,"suffix":""}],"container-title":"Applied Ecology and Environmental Research","id":"ITEM-5","issue":"3","issued":{"date-parts":[["2020"]]},"page":"3887-3896","title":"Effects of hydrophilic polymer on the survival, growth, and flowering characteristics of pineapple sage (Salvia elegans) in unirrigated green roofs","type":"article-journal","volume":"18"},"uris":["http://www.mendeley.com/documents/?uuid=c0fe9883-b6d6-4aab-8cac-9b8988194d9f"]},{"id":"ITEM-6","itemData":{"DOI":"10.1016/j.scitotenv.2014.05.020","ISSN":"18791026","PMID":"24867709","abstract":"Climate features of the Mediterranean area make plant survival over green roofs challenging, thus calling for research work to improve water holding capacities of green roof systems. We assessed the effects of polymer hydrogel amendment on the water holding capacity of a green roof substrate, as well as on water status and growth of Salvia officinalis. Plants were grown in green roof experimental modules containing 8. cm or 12. cm deep substrate (control) or substrate mixed with hydrogel at two different concentrations: 0.3 or 0.6%. Hydrogel significantly increased the substrate's water content at saturation, as well as water available to vegetation. Plants grown in 8. cm deep substrate mixed with 0.6% of hydrogel showed the best performance in terms of water status and membrane integrity under drought stress, associated to the lowest above-ground biomass. Our results provide experimental evidence that polymer hydrogel amendments enhance water supply to vegetation at the establishment phase of a green roof. In particular, the water status of plants is most effectively improved when reduced substrate depths are used to limit the biomass accumulation during early growth stages. A significant loss of water holding capacity of substrate-hydrogel blends was observed after 5. months from establishment of the experimental modules. We suggest that cross-optimization of physical-chemical characteristics of hydrogels and green roof substrates is needed to improve long term effectiveness of polymer-hydrogel blends. © 2014 Elsevier B.V.","author":[{"dropping-particle":"","family":"Savi","given":"Tadeja","non-dropping-particle":"","parse-names":false,"suffix":""},{"dropping-particle":"","family":"Marin","given":"Maria","non-dropping-particle":"","parse-names":false,"suffix":""},{"dropping-particle":"","family":"Boldrin","given":"David","non-dropping-particle":"","parse-names":false,"suffix":""},{"dropping-particle":"","family":"Incerti","given":"Guido","non-dropping-particle":"","parse-names":false,"suffix":""},{"dropping-particle":"","family":"Andri","given":"Sergio","non-dropping-particle":"","parse-names":false,"suffix":""},{"dropping-particle":"","family":"Nardini","given":"Andrea","non-dropping-particle":"","parse-names":false,"suffix":""}],"container-title":"Science of the Total Environment","id":"ITEM-6","issued":{"date-parts":[["2014"]]},"page":"467-476","publisher":"Elsevier B.V.","title":"Green roofs for a drier world: Effects of hydrogel amendment on substrate and plant water status","type":"article-journal","volume":"490"},"uris":["http://www.mendeley.com/documents/?uuid=d00c2c61-c7f5-4c0d-88ea-58da377f8ac7"]},{"id":"ITEM-7","itemData":{"DOI":"10.2478/eces-2020-0023","ISSN":"18986196","abstract":"Climate changes as well as the urbanisation and economic development influence the characteristics of the stormwater runoff in the cities. The sealing of drainage basin surface leads to an increase of the runoff intensity, thereby decreasing the rainwater infiltration. This situation can lead to the risk of flooding in urban areas. Therefore, especially in great cities there is a need for application of such solutions that will support the operation of the sewage systems. The examples of such solutions are, among others, the green roofs. The paper presents the results of investigation of the water retention capacity of 4 green roof models containing following growing media: (1) the typical green roof substrate without any amendments, (2) the substrate with addition of about 1 % by weight of hydrogel (the cross-linked potassium polyacrylate), (3) the substrate containing about 0.25 % by weight of hydrogel, (4) the substrate with addition of expanded clay and perlite. The models were not vegetated in order to investigate only the water retention capacity of drainage elements and substrates. The water retention capacity of green roof models was investigated in the laboratory conditions with use of artificial precipitations simulated after diverse antecedent dry weather periods (ADWP) amounting to: 1, 2, 5, 7, and 12 days. The intensities of artificial precipitations were relatively high and ranged from 1.14 to 1.27 mm/min, whereas their durations ranged from 7.75 to 12.56 min. These values of intensities and durations corresponded to the design rainfall intensities calculated using Blaszczyk's equation for annual rain depth equal to 600 mm and the return periods ranged from 5 to 15 years. The obtained results indicate that the water retention capacity of green roof models, expressed as the volumes (or depths) of rainwater retained within their structures, increases with an increase of ADWP. Results indicate that the relation between ADWP and the amount of water retained in the layers of green roofs in the case of relatively short antecedent dry weather periods provided for the analysis (from 1 to 7 days) may be approximately linear. The results of the one-way ANOVA indicate that in the case of all models there is a statistically significant difference between the values of retention depth for specified ADWP (p &lt; 0.001). During more than half of simulated precipitations, especially in the case of longer ADWPs lasting 5, 7, and 12 days the best water retenti…","author":[{"dropping-particle":"","family":"Deska","given":"Iwona","non-dropping-particle":"","parse-names":false,"suffix":""},{"dropping-particle":"","family":"Mrowiec","given":"Maciej","non-dropping-particle":"","parse-names":false,"suffix":""},{"dropping-particle":"","family":"Ociepa","given":"Ewa","non-dropping-particle":"","parse-names":false,"suffix":""},{"dropping-particle":"","family":"Michniewski","given":"Michał","non-dropping-particle":"","parse-names":false,"suffix":""}],"container-title":"Ecological Chemistry and Engineering S","id":"ITEM-7","issue":"3","issued":{"date-parts":[["2020"]]},"page":"357-371","title":"Impact of the Hydrogel Amendment and the Dry Period Duration on the Green Roof Retention Capacity","type":"article-journal","volume":"27"},"uris":["http://www.mendeley.com/documents/?uuid=c2321800-f37c-4999-80e6-cb6b448e02d8"]},{"id":"ITEM-8","itemData":{"DOI":"10.1016/j.ecoleng.2012.07.002","ISSN":"09258574","abstract":"Extensive green roof systems can mitigate urban stormwater by capturing rainfall and reducing runoff volume. Green roof media, often made from heat-expanded shales, slates and clays are fundamental for roof hydraulic dynamics, and for providing optimal plant growth conditions. However, many of these media have a high carbon footprint from processing and occasionally impose load limitations for retrofitting on roofs of older infrastructure. This research studied recycled-tire crumb rubber (CR), as a light-weight material for amending green roof media. Despite its advantages as a recycled product, CR releases zinc (Zn). This heavy metal could be harmful for green roof plants and the overall ecosystem. Zinc released from CR was quantified, and the interactions with the commercial green roof media, rooflite ®, were characterized. In initial leaching assays, it was confirmed that CR leaches Zn in potentially toxic quantities for Sedum, which is perhaps the most important genus utilized in commercial applications in the United States. However, when CR was combined in volumetric proportions of 6%, 18% and 30% with the green roof medium rooflite ® and bathed in water for 16 days, up to 99% of Zn became unavailable compared to a 100% CR control. Crumb rubber was volumetrically combined in 30% proportions with either rooflite ® or glass beads for three months. Analysis of leachates from weekly applications of water showed that the green roof medium could render the Zn unavailable and below USEPA toxicity thresholds. These results suggest that media with high cation exchange capacities can effectively mitigate the Zn released from CR. This application may allow for the reutilization of a waste material as an amendment for extensive green roof media. © 2012 Elsevier B.V.","author":[{"dropping-particle":"","family":"Solano","given":"Lorelly","non-dropping-particle":"","parse-names":false,"suffix":""},{"dropping-particle":"","family":"Ristvey","given":"Andrew G.","non-dropping-particle":"","parse-names":false,"suffix":""},{"dropping-particle":"","family":"Lea-Cox","given":"John D.","non-dropping-particle":"","parse-names":false,"suffix":""},{"dropping-particle":"","family":"Cohan","given":"Steven M.","non-dropping-particle":"","parse-names":false,"suffix":""}],"container-title":"Ecological Engineering","id":"ITEM-8","issued":{"date-parts":[["2012"]]},"page":"284-290","publisher":"Elsevier B.V.","title":"Sequestering zinc from recycled crumb rubber in extensive green roof media","type":"article-journal","volume":"47"},"uris":["http://www.mendeley.com/documents/?uuid=bd53ed27-4e8d-4159-8da9-02572401afc2"]},{"id":"ITEM-9","itemData":{"DOI":"10.1128/AEM.03565-13","ISSN":"10985336","PMID":"24584242","abstract":"The use of green roofs is a growing practice worldwide, particularly in densely populated areas. In an attempt to find new methods for recycling crumb rubber, incorporation of crumb rubber into artificial medium for plant growth in green roofs and similar engineered environments has become an attractive option for the recycling of waste tires. Though this approach decreases waste in landfills, there are concerns about the leaching of zinc and other heavy metals, as well as nutrient and organic compounds, into the environment. The present study analyzed the impact of leachate from crumb rubber and zinc on the growth and viability of Salmonella enterica subsp. enterica serovar Typhimurium. Zinc was chosen for further studies since it has been previously implicated with other biological functions, including biofilm formation, motility, and possible cross-resistance to antimicrobial agents. The study showed that Salmonella can colonize crumb rubber and that crumb rubber extract may provide nutrients that are usable by this bacterium. Salmonella strains with reduced susceptibility (SRS) to zinc were obtained after subculturing in increasing concentrations of zinc. The SRS exhibited differences in gene expression of flux pump genes zntA and znuA compared to that of the parent when exposed to 20mMadded zinc. In biofilm formation studies, the SRS formed less biofilm but was more motile than the parental strain. © 2014, American Society for Microbiology.","author":[{"dropping-particle":"","family":"Crampton","given":"Mollee","non-dropping-particle":"","parse-names":false,"suffix":""},{"dropping-particle":"","family":"Ryan","given":"Allayna","non-dropping-particle":"","parse-names":false,"suffix":""},{"dropping-particle":"","family":"Eckert","given":"Cori","non-dropping-particle":"","parse-names":false,"suffix":""},{"dropping-particle":"","family":"Baker","given":"Katherine H.","non-dropping-particle":"","parse-names":false,"suffix":""},{"dropping-particle":"","family":"Herson","given":"Diane S.","non-dropping-particle":"","parse-names":false,"suffix":""}],"container-title":"Applied and Environmental Microbiology","id":"ITEM-9","issue":"9","issued":{"date-parts":[["2014"]]},"page":"2804-2810","title":"Effects of leachate from crumb rubber and zinc in green roofs on the survival, growth, and resistance characteristics of Salmonella enterica subsp. enterica serovar typhimurium","type":"article-journal","volume":"80"},"uris":["http://www.mendeley.com/documents/?uuid=7791d3db-a96f-4863-a44b-16686f07a0be"]},{"id":"ITEM-10","itemData":{"DOI":"10.1016/j.buildenv.2014.01.001","ISSN":"03601323","abstract":"Using recycled rubber crumbs as drainage layer in extensive green roofs have high potential to reduce the heating and cooling loads in buildings over traditional materials used as drainage layer, such as pozzolana gravel. However, the environmental impact due to the life cycle should be analyzed to assess its environmental benefit. This paper evaluates the environmental performance of green roofs in which the drainage layer is made of rubber crumbs, a recycled material the use of which is still experimental for this purpose. In this paper Life Cycle Assessment (LCA) is applied to compare the environmental impact of four constructive systems, two extensive green roofs without insulation layer and with different drainage materials, - a recycled material, rubber crumbs, and a conventional one, pozzolana gravel -, in front of two conventional flat roofs, with and without thermal insulation (polyurethane), built in an experimental set-up consisting of four monitored house-like cubicles, located in Mediterranean continental climate (Lleida, Spain). The LCA considered the production, construction, operational, and disposal phases of the roofs, according to UNE-EN 15643-2. The operational phase was carried out using data measured in the experimental set-up, considering heating and cooling energy consumptions in the winter and summer period, respectively. © 2014 Elsevier Ltd.","author":[{"dropping-particle":"","family":"Rincón","given":"Lídia","non-dropping-particle":"","parse-names":false,"suffix":""},{"dropping-particle":"","family":"Coma","given":"Julià","non-dropping-particle":"","parse-names":false,"suffix":""},{"dropping-particle":"","family":"Pérez","given":"Gabriel","non-dropping-particle":"","parse-names":false,"suffix":""},{"dropping-particle":"","family":"Castell","given":"Albert","non-dropping-particle":"","parse-names":false,"suffix":""},{"dropping-particle":"","family":"Boer","given":"Dieter","non-dropping-particle":"","parse-names":false,"suffix":""},{"dropping-particle":"","family":"Cabeza","given":"Luisa F.","non-dropping-particle":"","parse-names":false,"suffix":""}],"container-title":"Building and Environment","id":"ITEM-10","issued":{"date-parts":[["2014"]]},"number-of-pages":"22-30","publisher":"Elsevier Ltd","title":"Environmental performance of recycled rubber as drainage layer in extensive green roofs. A comparative Life Cycle Assessment","type":"book","volume":"74"},"uris":["http://www.mendeley.com/documents/?uuid=14e84749-5f84-4c81-995b-42a112f818da"]},{"id":"ITEM-11","itemData":{"DOI":"10.1016/j.apenergy.2011.11.051","ISSN":"03062619","abstract":"Today, green roofs are a building system which provides interesting benefits over traditional roof solutions. The most important advantages are the reduction of surface runoff in cities, improvement of the urban climate, biodiversity support, improvement of the durability of roofing materials, and, especially, energy savings. This paper has the aim of studying the performance of green roofs as a passive system for energy savings, within a wider objective of seeking constructive solutions suitable for sustainable and environmentally friendly architecture. This idea is tested at an experimental installation available at the University of Lleida, with several cubicles testing the energy performance of different construction solutions. This work raises the possibility of using recycled rubber from tires as a drainage layer in green roofs, substituting the porous stone materials currently used (such as expanded clay, expanded shale, pumice, and natural puzolana). This solution would reduce the consumption of these natural materials, which also require large amounts of energy in its transformation process to obtain their properties. Moreover it would provide a solution to the problem of waste rubber from the tires, known as rubber crumbs. Since the purpose of the drainage layer is the optimum balance between air and water in the green roof system, first the ability for draining of recycled rubber granules was studied and was compared with the offered by stone materials. The new solution using rubber crumbs is also studied to test if it would keep the same insulating properties that the green roof with stone materials presented in previous studies. Early results show that this extensive green roof system can be a good passive energy savings tool in Continental Mediterranean climate in summer, and that rubber crumbs can be an interesting substitute for stone materials used as drainage layer in this type of green roofs. © 2011 Elsevier Ltd.","author":[{"dropping-particle":"","family":"Pérez","given":"Gabriel","non-dropping-particle":"","parse-names":false,"suffix":""},{"dropping-particle":"","family":"Vila","given":"Anna","non-dropping-particle":"","parse-names":false,"suffix":""},{"dropping-particle":"","family":"Rincón","given":"Lídia","non-dropping-particle":"","parse-names":false,"suffix":""},{"dropping-particle":"","family":"Solé","given":"Cristian","non-dropping-particle":"","parse-names":false,"suffix":""},{"dropping-particle":"","family":"Cabeza","given":"Luisa F.","non-dropping-particle":"","parse-names":false,"suffix":""}],"container-title":"Applied Energy","id":"ITEM-11","issued":{"date-parts":[["2012"]]},"page":"347-354","title":"Use of rubber crumbs as drainage layer in green roofs as potential energy improvement material","type":"article-journal","volume":"97"},"uris":["http://www.mendeley.com/documents/?uuid=2f7d3e84-6eec-481c-999b-a08102ddb2df"]}],"mendeley":{"formattedCitation":"(Cao et al., 2014; Crampton et al., 2014; Deska et al., 2020; Ju et al., 2020; Kuoppamäki et al., 2015; Kuoppamäki &amp; Lehvävirta, 2016; Pérez et al., 2012; D. Qiu et al., 2020; Rincón et al., 2014; Savi et al., 2014; Solano et al., 2012)","plainTextFormattedCitation":"(Cao et al., 2014; Crampton et al., 2014; Deska et al., 2020; Ju et al., 2020; Kuoppamäki et al., 2015; Kuoppamäki &amp; Lehvävirta, 2016; Pérez et al., 2012; D. Qiu et al., 2020; Rincón et al., 2014; Savi et al., 2014; Solano et al., 2012)","previouslyFormattedCitation":"(Cao et al., 2014; Crampton et al., 2014; Deska et al., 2020; Ju et al., 2020; Kuoppamäki et al., 2015; Kuoppamäki &amp; Lehvävirta, 2016; Pérez et al., 2012; D. Qiu et al., 2020; Rincón et al., 2014; Savi et al., 2014; Solano et al., 2012)"},"properties":{"noteIndex":0},"schema":"https://github.com/citation-style-language/schema/raw/master/csl-citation.json"}</w:instrText>
      </w:r>
      <w:r w:rsidRPr="009A4DB0">
        <w:rPr>
          <w:rFonts w:ascii="Arial" w:hAnsi="Arial" w:cs="Arial"/>
          <w:sz w:val="24"/>
          <w:szCs w:val="24"/>
        </w:rPr>
        <w:fldChar w:fldCharType="separate"/>
      </w:r>
      <w:r w:rsidRPr="00042957">
        <w:rPr>
          <w:rFonts w:ascii="Arial" w:hAnsi="Arial" w:cs="Arial"/>
          <w:noProof/>
          <w:sz w:val="24"/>
          <w:szCs w:val="24"/>
        </w:rPr>
        <w:t>(Cao et al., 2014; Crampton et al., 2014; Deska et al., 2020; Ju et al., 2020; Kuoppamäki et al., 2015; Kuoppamäki &amp; Lehvävirta, 2016; Pérez et al., 2012; D. Qiu et al., 2020; Rincón et al., 2014; Savi et al., 2014; Solano et al., 2012)</w:t>
      </w:r>
      <w:r w:rsidRPr="009A4DB0">
        <w:rPr>
          <w:rFonts w:ascii="Arial" w:hAnsi="Arial" w:cs="Arial"/>
          <w:sz w:val="24"/>
          <w:szCs w:val="24"/>
        </w:rPr>
        <w:fldChar w:fldCharType="end"/>
      </w:r>
      <w:r>
        <w:rPr>
          <w:rFonts w:ascii="Arial" w:hAnsi="Arial" w:cs="Arial"/>
          <w:sz w:val="24"/>
          <w:szCs w:val="24"/>
        </w:rPr>
        <w:t xml:space="preserve">. </w:t>
      </w:r>
    </w:p>
    <w:p w14:paraId="3F626227" w14:textId="555FD70B" w:rsidR="001E6539" w:rsidRDefault="00EA3615" w:rsidP="00F94764">
      <w:pPr>
        <w:spacing w:line="360" w:lineRule="auto"/>
        <w:jc w:val="both"/>
        <w:rPr>
          <w:rFonts w:ascii="Arial" w:hAnsi="Arial" w:cs="Arial"/>
          <w:sz w:val="24"/>
          <w:szCs w:val="24"/>
        </w:rPr>
      </w:pPr>
      <w:r>
        <w:rPr>
          <w:rFonts w:ascii="Arial" w:hAnsi="Arial" w:cs="Arial"/>
          <w:sz w:val="24"/>
          <w:szCs w:val="24"/>
        </w:rPr>
        <w:lastRenderedPageBreak/>
        <w:t>Los resultados obtenidos son la mejora de</w:t>
      </w:r>
      <w:r w:rsidRPr="009A4DB0">
        <w:rPr>
          <w:rFonts w:ascii="Arial" w:hAnsi="Arial" w:cs="Arial"/>
          <w:sz w:val="24"/>
          <w:szCs w:val="24"/>
        </w:rPr>
        <w:t>l rendimiento</w:t>
      </w:r>
      <w:r w:rsidR="00605DE5">
        <w:rPr>
          <w:rFonts w:ascii="Arial" w:hAnsi="Arial" w:cs="Arial"/>
          <w:sz w:val="24"/>
          <w:szCs w:val="24"/>
        </w:rPr>
        <w:t xml:space="preserve">, fomentar la sustentabilidad al emplear </w:t>
      </w:r>
      <w:r w:rsidRPr="009A4DB0">
        <w:rPr>
          <w:rFonts w:ascii="Arial" w:hAnsi="Arial" w:cs="Arial"/>
          <w:sz w:val="24"/>
          <w:szCs w:val="24"/>
        </w:rPr>
        <w:t>residuos como capa drenante o como sustrato.</w:t>
      </w:r>
      <w:r w:rsidR="00F94764">
        <w:rPr>
          <w:rFonts w:ascii="Arial" w:hAnsi="Arial" w:cs="Arial"/>
          <w:sz w:val="24"/>
          <w:szCs w:val="24"/>
        </w:rPr>
        <w:t xml:space="preserve"> </w:t>
      </w:r>
      <w:r w:rsidR="00163D31">
        <w:rPr>
          <w:rFonts w:ascii="Arial" w:hAnsi="Arial" w:cs="Arial"/>
          <w:sz w:val="24"/>
          <w:szCs w:val="24"/>
        </w:rPr>
        <w:t>Asimismo, s</w:t>
      </w:r>
      <w:r w:rsidR="001E6539" w:rsidRPr="001E6539">
        <w:rPr>
          <w:rFonts w:ascii="Arial" w:hAnsi="Arial" w:cs="Arial"/>
          <w:sz w:val="24"/>
          <w:szCs w:val="24"/>
        </w:rPr>
        <w:t>e ha comprobado que al emplear materiales reciclados es posible disminuir aproximadamente 7kgCO</w:t>
      </w:r>
      <w:r w:rsidR="001E6539" w:rsidRPr="00F94764">
        <w:rPr>
          <w:rFonts w:ascii="Arial" w:hAnsi="Arial" w:cs="Arial"/>
          <w:sz w:val="24"/>
          <w:szCs w:val="24"/>
          <w:vertAlign w:val="subscript"/>
        </w:rPr>
        <w:t>2</w:t>
      </w:r>
      <w:r w:rsidR="001E6539" w:rsidRPr="001E6539">
        <w:rPr>
          <w:rFonts w:ascii="Arial" w:hAnsi="Arial" w:cs="Arial"/>
          <w:sz w:val="24"/>
          <w:szCs w:val="24"/>
        </w:rPr>
        <w:t>eq/m</w:t>
      </w:r>
      <w:r w:rsidR="001E6539" w:rsidRPr="00F94764">
        <w:rPr>
          <w:rFonts w:ascii="Arial" w:hAnsi="Arial" w:cs="Arial"/>
          <w:sz w:val="24"/>
          <w:szCs w:val="24"/>
          <w:vertAlign w:val="superscript"/>
        </w:rPr>
        <w:t>2</w:t>
      </w:r>
      <w:r w:rsidR="00163D31">
        <w:rPr>
          <w:rFonts w:ascii="Arial" w:hAnsi="Arial" w:cs="Arial"/>
          <w:sz w:val="24"/>
          <w:szCs w:val="24"/>
          <w:vertAlign w:val="superscript"/>
        </w:rPr>
        <w:t xml:space="preserve"> </w:t>
      </w:r>
      <w:r w:rsidR="00163D31">
        <w:rPr>
          <w:rFonts w:ascii="Arial" w:hAnsi="Arial" w:cs="Arial"/>
          <w:sz w:val="24"/>
          <w:szCs w:val="24"/>
          <w:vertAlign w:val="superscript"/>
        </w:rPr>
        <w:fldChar w:fldCharType="begin" w:fldLock="1"/>
      </w:r>
      <w:r w:rsidR="00437BF9">
        <w:rPr>
          <w:rFonts w:ascii="Arial" w:hAnsi="Arial" w:cs="Arial"/>
          <w:sz w:val="24"/>
          <w:szCs w:val="24"/>
          <w:vertAlign w:val="superscript"/>
        </w:rPr>
        <w:instrText>ADDIN CSL_CITATION {"citationItems":[{"id":"ITEM-1","itemData":{"DOI":"10.1016/j.jclepro.2014.11.070","ISSN":"09596526","abstract":"Recent years have seen an increase in the amount of green roofs in urban areas across the world. The research to date has tended to focus on the general advantages of such roofs while less attention has been paid to environmental impacts of the layers used in the construction of green roofs. In this paper, the environmental performance of two complete lightweight green roof systems were analyzed with the aim of determining the potential environmental impact of the different layers of the systems. The results show that among the materials we analyzed, the water retention, drainage and substrate layers contained the components that had the greatest negative environmental impact. More specifically, our results show that when the required performance is not impaired 1) Rockwool, virgin HIPS and expanded clay should be avoided in order to produce environmentally responsible roof systems; 2) simple roof systems may be recommendable whenever feasible and 3) recycled and local materials are better than virgin and those requiring long distance transport; and 4) the use of compost on the roofs may be recommendable if taking into account that using organic waste in landfill is a worse scenario than composting it.","author":[{"dropping-particle":"","family":"Bozorg Chenani","given":"Sanaz","non-dropping-particle":"","parse-names":false,"suffix":""},{"dropping-particle":"","family":"Lehvävirta","given":"Susanna","non-dropping-particle":"","parse-names":false,"suffix":""},{"dropping-particle":"","family":"Häkkinen","given":"Tarja","non-dropping-particle":"","parse-names":false,"suffix":""}],"container-title":"Journal of Cleaner Production","id":"ITEM-1","issued":{"date-parts":[["2015"]]},"page":"153-162","title":"Life cycle assessment of layers of green roofs","type":"article-journal","volume":"90"},"uris":["http://www.mendeley.com/documents/?uuid=a01d1ba7-22ec-474f-a1d2-3aae798ded18"]}],"mendeley":{"formattedCitation":"(Bozorg Chenani et al., 2015)","plainTextFormattedCitation":"(Bozorg Chenani et al., 2015)","previouslyFormattedCitation":"(Bozorg Chenani et al., 2015)"},"properties":{"noteIndex":0},"schema":"https://github.com/citation-style-language/schema/raw/master/csl-citation.json"}</w:instrText>
      </w:r>
      <w:r w:rsidR="00163D31">
        <w:rPr>
          <w:rFonts w:ascii="Arial" w:hAnsi="Arial" w:cs="Arial"/>
          <w:sz w:val="24"/>
          <w:szCs w:val="24"/>
          <w:vertAlign w:val="superscript"/>
        </w:rPr>
        <w:fldChar w:fldCharType="separate"/>
      </w:r>
      <w:r w:rsidR="00163D31" w:rsidRPr="00163D31">
        <w:rPr>
          <w:rFonts w:ascii="Arial" w:hAnsi="Arial" w:cs="Arial"/>
          <w:noProof/>
          <w:sz w:val="24"/>
          <w:szCs w:val="24"/>
        </w:rPr>
        <w:t>(Bozorg Chenani et al., 2015)</w:t>
      </w:r>
      <w:r w:rsidR="00163D31">
        <w:rPr>
          <w:rFonts w:ascii="Arial" w:hAnsi="Arial" w:cs="Arial"/>
          <w:sz w:val="24"/>
          <w:szCs w:val="24"/>
          <w:vertAlign w:val="superscript"/>
        </w:rPr>
        <w:fldChar w:fldCharType="end"/>
      </w:r>
      <w:r w:rsidR="001E6539" w:rsidRPr="001E6539">
        <w:rPr>
          <w:rFonts w:ascii="Arial" w:hAnsi="Arial" w:cs="Arial"/>
          <w:sz w:val="24"/>
          <w:szCs w:val="24"/>
        </w:rPr>
        <w:t>.</w:t>
      </w:r>
    </w:p>
    <w:p w14:paraId="412E7B09" w14:textId="1C12E8B2" w:rsidR="004757EF" w:rsidRDefault="004757EF" w:rsidP="004757EF">
      <w:pPr>
        <w:spacing w:line="360" w:lineRule="auto"/>
        <w:jc w:val="both"/>
        <w:rPr>
          <w:rFonts w:ascii="Arial" w:hAnsi="Arial" w:cs="Arial"/>
          <w:sz w:val="24"/>
          <w:szCs w:val="24"/>
        </w:rPr>
      </w:pPr>
      <w:r>
        <w:rPr>
          <w:rFonts w:ascii="Arial" w:hAnsi="Arial" w:cs="Arial"/>
          <w:sz w:val="24"/>
          <w:szCs w:val="24"/>
        </w:rPr>
        <w:t xml:space="preserve">El proyecto descrito a continuación consiste en </w:t>
      </w:r>
      <w:r w:rsidRPr="009A4DB0">
        <w:rPr>
          <w:rFonts w:ascii="Arial" w:hAnsi="Arial" w:cs="Arial"/>
          <w:sz w:val="24"/>
          <w:szCs w:val="24"/>
        </w:rPr>
        <w:t>establecer un techo verde</w:t>
      </w:r>
      <w:r w:rsidR="00BE5546">
        <w:rPr>
          <w:rFonts w:ascii="Arial" w:hAnsi="Arial" w:cs="Arial"/>
          <w:sz w:val="24"/>
          <w:szCs w:val="24"/>
        </w:rPr>
        <w:t xml:space="preserve"> ligero extensivo</w:t>
      </w:r>
      <w:r w:rsidRPr="009A4DB0">
        <w:rPr>
          <w:rFonts w:ascii="Arial" w:hAnsi="Arial" w:cs="Arial"/>
          <w:sz w:val="24"/>
          <w:szCs w:val="24"/>
        </w:rPr>
        <w:t xml:space="preserve"> </w:t>
      </w:r>
      <w:r w:rsidR="00BE5546">
        <w:rPr>
          <w:rFonts w:ascii="Arial" w:hAnsi="Arial" w:cs="Arial"/>
          <w:sz w:val="24"/>
          <w:szCs w:val="24"/>
        </w:rPr>
        <w:t xml:space="preserve">(TVLE) </w:t>
      </w:r>
      <w:r w:rsidRPr="009A4DB0">
        <w:rPr>
          <w:rFonts w:ascii="Arial" w:hAnsi="Arial" w:cs="Arial"/>
          <w:sz w:val="24"/>
          <w:szCs w:val="24"/>
        </w:rPr>
        <w:t>con la combinación de dos materiales orgánicos en su estructura para disminuir su costo</w:t>
      </w:r>
      <w:r>
        <w:rPr>
          <w:rFonts w:ascii="Arial" w:hAnsi="Arial" w:cs="Arial"/>
          <w:sz w:val="24"/>
          <w:szCs w:val="24"/>
        </w:rPr>
        <w:t xml:space="preserve"> económico y ambiental. Así como evaluar el conocimiento de </w:t>
      </w:r>
      <w:r w:rsidRPr="009A4DB0">
        <w:rPr>
          <w:rFonts w:ascii="Arial" w:hAnsi="Arial" w:cs="Arial"/>
          <w:sz w:val="24"/>
          <w:szCs w:val="24"/>
        </w:rPr>
        <w:t>estudiantes de nivel medio</w:t>
      </w:r>
      <w:r>
        <w:rPr>
          <w:rFonts w:ascii="Arial" w:hAnsi="Arial" w:cs="Arial"/>
          <w:sz w:val="24"/>
          <w:szCs w:val="24"/>
        </w:rPr>
        <w:t xml:space="preserve"> respecto a las AVU y </w:t>
      </w:r>
      <w:proofErr w:type="spellStart"/>
      <w:r>
        <w:rPr>
          <w:rFonts w:ascii="Arial" w:hAnsi="Arial" w:cs="Arial"/>
          <w:sz w:val="24"/>
          <w:szCs w:val="24"/>
        </w:rPr>
        <w:t>SbN</w:t>
      </w:r>
      <w:proofErr w:type="spellEnd"/>
      <w:r>
        <w:rPr>
          <w:rFonts w:ascii="Arial" w:hAnsi="Arial" w:cs="Arial"/>
          <w:sz w:val="24"/>
          <w:szCs w:val="24"/>
        </w:rPr>
        <w:t xml:space="preserve"> en general para, diseñar y aplicar un curso </w:t>
      </w:r>
      <w:r w:rsidRPr="009A4DB0">
        <w:rPr>
          <w:rFonts w:ascii="Arial" w:hAnsi="Arial" w:cs="Arial"/>
          <w:sz w:val="24"/>
          <w:szCs w:val="24"/>
        </w:rPr>
        <w:t>introductorio e interactivo sobre</w:t>
      </w:r>
      <w:r>
        <w:rPr>
          <w:rFonts w:ascii="Arial" w:hAnsi="Arial" w:cs="Arial"/>
          <w:sz w:val="24"/>
          <w:szCs w:val="24"/>
        </w:rPr>
        <w:t xml:space="preserve"> estos tópicos. Ambas actividades en conjunto tienen la finalidad de promover </w:t>
      </w:r>
      <w:r w:rsidRPr="009A4DB0">
        <w:rPr>
          <w:rFonts w:ascii="Arial" w:hAnsi="Arial" w:cs="Arial"/>
          <w:sz w:val="24"/>
          <w:szCs w:val="24"/>
        </w:rPr>
        <w:t>la instalación de los techos verdes</w:t>
      </w:r>
      <w:r>
        <w:rPr>
          <w:rFonts w:ascii="Arial" w:hAnsi="Arial" w:cs="Arial"/>
          <w:sz w:val="24"/>
          <w:szCs w:val="24"/>
        </w:rPr>
        <w:t>.</w:t>
      </w:r>
    </w:p>
    <w:p w14:paraId="51CD0167" w14:textId="2F32D8F8" w:rsidR="00955F89" w:rsidRDefault="00955F89" w:rsidP="00955F89"/>
    <w:p w14:paraId="0A88417D" w14:textId="15D61AC0" w:rsidR="00955F89" w:rsidRDefault="00955F89" w:rsidP="00955F89">
      <w:pPr>
        <w:rPr>
          <w:rFonts w:ascii="Arial" w:hAnsi="Arial" w:cs="Arial"/>
          <w:sz w:val="24"/>
          <w:szCs w:val="24"/>
        </w:rPr>
      </w:pPr>
      <w:r w:rsidRPr="00CA2FA8">
        <w:rPr>
          <w:rFonts w:ascii="Arial" w:hAnsi="Arial" w:cs="Arial"/>
          <w:b/>
          <w:bCs/>
          <w:sz w:val="24"/>
          <w:szCs w:val="24"/>
        </w:rPr>
        <w:t>Objetivo general</w:t>
      </w:r>
      <w:r>
        <w:rPr>
          <w:rFonts w:ascii="Arial" w:hAnsi="Arial" w:cs="Arial"/>
          <w:sz w:val="24"/>
          <w:szCs w:val="24"/>
        </w:rPr>
        <w:t xml:space="preserve"> </w:t>
      </w:r>
    </w:p>
    <w:p w14:paraId="3C6364A2" w14:textId="451D27AF" w:rsidR="00955F89" w:rsidRPr="009A4DB0" w:rsidRDefault="00955F89" w:rsidP="00F94764">
      <w:pPr>
        <w:spacing w:line="360" w:lineRule="auto"/>
        <w:jc w:val="both"/>
        <w:rPr>
          <w:rFonts w:ascii="Arial" w:hAnsi="Arial" w:cs="Arial"/>
          <w:sz w:val="24"/>
          <w:szCs w:val="24"/>
        </w:rPr>
      </w:pPr>
      <w:r>
        <w:rPr>
          <w:rFonts w:ascii="Arial" w:hAnsi="Arial" w:cs="Arial"/>
          <w:sz w:val="24"/>
          <w:szCs w:val="24"/>
        </w:rPr>
        <w:t>Implementar y e</w:t>
      </w:r>
      <w:r w:rsidRPr="009A4DB0">
        <w:rPr>
          <w:rFonts w:ascii="Arial" w:hAnsi="Arial" w:cs="Arial"/>
          <w:sz w:val="24"/>
          <w:szCs w:val="24"/>
        </w:rPr>
        <w:t xml:space="preserve">valuar la estructura de un techo verde </w:t>
      </w:r>
      <w:r>
        <w:rPr>
          <w:rFonts w:ascii="Arial" w:hAnsi="Arial" w:cs="Arial"/>
          <w:sz w:val="24"/>
          <w:szCs w:val="24"/>
        </w:rPr>
        <w:t>orgánico e i</w:t>
      </w:r>
      <w:r w:rsidRPr="009A4DB0">
        <w:rPr>
          <w:rFonts w:ascii="Arial" w:hAnsi="Arial" w:cs="Arial"/>
          <w:sz w:val="24"/>
          <w:szCs w:val="24"/>
        </w:rPr>
        <w:t>ntroducir a estudiantes de nivel medio a los SBN mediante un taller interactivo</w:t>
      </w:r>
      <w:r>
        <w:rPr>
          <w:rFonts w:ascii="Arial" w:hAnsi="Arial" w:cs="Arial"/>
          <w:sz w:val="24"/>
          <w:szCs w:val="24"/>
        </w:rPr>
        <w:t xml:space="preserve"> para fomentar su implementación</w:t>
      </w:r>
      <w:r w:rsidRPr="009A4DB0">
        <w:rPr>
          <w:rFonts w:ascii="Arial" w:hAnsi="Arial" w:cs="Arial"/>
          <w:sz w:val="24"/>
          <w:szCs w:val="24"/>
        </w:rPr>
        <w:t>.</w:t>
      </w:r>
    </w:p>
    <w:p w14:paraId="4C186BC6" w14:textId="77777777" w:rsidR="00955F89" w:rsidRPr="009A4DB0" w:rsidRDefault="00955F89" w:rsidP="00955F89">
      <w:pPr>
        <w:jc w:val="both"/>
        <w:rPr>
          <w:rFonts w:ascii="Arial" w:hAnsi="Arial" w:cs="Arial"/>
          <w:b/>
          <w:bCs/>
          <w:sz w:val="24"/>
          <w:szCs w:val="24"/>
        </w:rPr>
      </w:pPr>
      <w:r w:rsidRPr="009A4DB0">
        <w:rPr>
          <w:rFonts w:ascii="Arial" w:hAnsi="Arial" w:cs="Arial"/>
          <w:b/>
          <w:bCs/>
          <w:sz w:val="24"/>
          <w:szCs w:val="24"/>
        </w:rPr>
        <w:t>Objetivos específicos</w:t>
      </w:r>
    </w:p>
    <w:p w14:paraId="5FEB6B5C" w14:textId="77777777" w:rsidR="00955F89" w:rsidRDefault="00955F89" w:rsidP="00955F89">
      <w:pPr>
        <w:pStyle w:val="Prrafodelista"/>
        <w:numPr>
          <w:ilvl w:val="0"/>
          <w:numId w:val="1"/>
        </w:numPr>
        <w:jc w:val="both"/>
        <w:rPr>
          <w:rFonts w:ascii="Arial" w:hAnsi="Arial" w:cs="Arial"/>
          <w:sz w:val="24"/>
          <w:szCs w:val="24"/>
          <w:lang w:val="es-MX"/>
        </w:rPr>
      </w:pPr>
      <w:r w:rsidRPr="009A4DB0">
        <w:rPr>
          <w:rFonts w:ascii="Arial" w:hAnsi="Arial" w:cs="Arial"/>
          <w:sz w:val="24"/>
          <w:szCs w:val="24"/>
          <w:lang w:val="es-MX"/>
        </w:rPr>
        <w:t>Elaborar e impartir un taller interactivo para introducir los sistemas basados en la naturaleza a estudiantes del nivel medio.</w:t>
      </w:r>
    </w:p>
    <w:p w14:paraId="6532BD70" w14:textId="29CAA3E5" w:rsidR="00892A5C" w:rsidRPr="00892A5C" w:rsidRDefault="007B3FCB" w:rsidP="00892A5C">
      <w:pPr>
        <w:jc w:val="both"/>
        <w:rPr>
          <w:rFonts w:ascii="Arial" w:hAnsi="Arial" w:cs="Arial"/>
          <w:sz w:val="24"/>
          <w:szCs w:val="24"/>
        </w:rPr>
      </w:pPr>
      <w:r w:rsidRPr="00892A5C">
        <w:rPr>
          <w:rFonts w:ascii="Arial" w:hAnsi="Arial" w:cs="Arial"/>
          <w:sz w:val="24"/>
          <w:szCs w:val="24"/>
        </w:rPr>
        <w:t>Parcialmente cumplido. Se realizó un estudio de percepción para detectar el nivel de conocimiento y entendimiento en tópicos medio ambientales urbanos</w:t>
      </w:r>
    </w:p>
    <w:p w14:paraId="3AD374E7" w14:textId="4190A5BB" w:rsidR="002B18BD" w:rsidRDefault="00955F89" w:rsidP="00892A5C">
      <w:pPr>
        <w:pStyle w:val="Prrafodelista"/>
        <w:numPr>
          <w:ilvl w:val="0"/>
          <w:numId w:val="1"/>
        </w:numPr>
        <w:jc w:val="both"/>
        <w:rPr>
          <w:rFonts w:ascii="Arial" w:hAnsi="Arial" w:cs="Arial"/>
          <w:sz w:val="24"/>
          <w:szCs w:val="24"/>
          <w:lang w:val="es-MX"/>
        </w:rPr>
      </w:pPr>
      <w:r w:rsidRPr="00892A5C">
        <w:rPr>
          <w:rFonts w:ascii="Arial" w:hAnsi="Arial" w:cs="Arial"/>
          <w:sz w:val="24"/>
          <w:szCs w:val="24"/>
          <w:lang w:val="es-MX"/>
        </w:rPr>
        <w:t>Instalar un techo verde con material drenante orgánico.</w:t>
      </w:r>
    </w:p>
    <w:p w14:paraId="609393E0" w14:textId="402A4A23" w:rsidR="00462731" w:rsidRPr="00892A5C" w:rsidRDefault="00892A5C" w:rsidP="00892A5C">
      <w:pPr>
        <w:jc w:val="both"/>
        <w:rPr>
          <w:rFonts w:ascii="Arial" w:hAnsi="Arial" w:cs="Arial"/>
          <w:sz w:val="24"/>
          <w:szCs w:val="24"/>
        </w:rPr>
      </w:pPr>
      <w:r>
        <w:rPr>
          <w:rFonts w:ascii="Arial" w:hAnsi="Arial" w:cs="Arial"/>
          <w:sz w:val="24"/>
          <w:szCs w:val="24"/>
        </w:rPr>
        <w:t>Cumplido. Se instalo un TVLE de 6m</w:t>
      </w:r>
      <w:r w:rsidRPr="00892A5C">
        <w:rPr>
          <w:rFonts w:ascii="Arial" w:hAnsi="Arial" w:cs="Arial"/>
          <w:sz w:val="24"/>
          <w:szCs w:val="24"/>
          <w:vertAlign w:val="superscript"/>
        </w:rPr>
        <w:t>2</w:t>
      </w:r>
      <w:r w:rsidRPr="00892A5C">
        <w:rPr>
          <w:rFonts w:ascii="Arial" w:hAnsi="Arial" w:cs="Arial"/>
          <w:sz w:val="24"/>
          <w:szCs w:val="24"/>
        </w:rPr>
        <w:t>.</w:t>
      </w:r>
    </w:p>
    <w:p w14:paraId="1E87CB2D" w14:textId="1E7FE772" w:rsidR="002E084C" w:rsidRDefault="00955F89" w:rsidP="003808FD">
      <w:pPr>
        <w:pStyle w:val="Prrafodelista"/>
        <w:numPr>
          <w:ilvl w:val="0"/>
          <w:numId w:val="1"/>
        </w:numPr>
        <w:jc w:val="both"/>
        <w:rPr>
          <w:rFonts w:ascii="Arial" w:hAnsi="Arial" w:cs="Arial"/>
          <w:sz w:val="24"/>
          <w:szCs w:val="24"/>
          <w:lang w:val="es-MX"/>
        </w:rPr>
      </w:pPr>
      <w:r w:rsidRPr="009A4DB0">
        <w:rPr>
          <w:rFonts w:ascii="Arial" w:hAnsi="Arial" w:cs="Arial"/>
          <w:sz w:val="24"/>
          <w:szCs w:val="24"/>
          <w:lang w:val="es-MX"/>
        </w:rPr>
        <w:t>Determinar la huella de carbono del techo verde.</w:t>
      </w:r>
    </w:p>
    <w:p w14:paraId="4864D8C6" w14:textId="77777777" w:rsidR="00AA5CA3" w:rsidRDefault="00892A5C" w:rsidP="00892A5C">
      <w:pPr>
        <w:spacing w:line="360" w:lineRule="auto"/>
        <w:jc w:val="both"/>
        <w:rPr>
          <w:rFonts w:ascii="Arial" w:hAnsi="Arial" w:cs="Arial"/>
          <w:sz w:val="24"/>
          <w:szCs w:val="24"/>
        </w:rPr>
      </w:pPr>
      <w:r>
        <w:rPr>
          <w:rFonts w:ascii="Arial" w:hAnsi="Arial" w:cs="Arial"/>
          <w:sz w:val="24"/>
          <w:szCs w:val="24"/>
        </w:rPr>
        <w:t xml:space="preserve">Parcialmente cumplido. </w:t>
      </w:r>
      <w:r w:rsidR="00736478">
        <w:rPr>
          <w:rFonts w:ascii="Arial" w:hAnsi="Arial" w:cs="Arial"/>
          <w:sz w:val="24"/>
          <w:szCs w:val="24"/>
        </w:rPr>
        <w:t xml:space="preserve">Se establecieron las </w:t>
      </w:r>
      <w:r w:rsidR="003123A4">
        <w:rPr>
          <w:rFonts w:ascii="Arial" w:hAnsi="Arial" w:cs="Arial"/>
          <w:sz w:val="24"/>
          <w:szCs w:val="24"/>
        </w:rPr>
        <w:t xml:space="preserve">especificaciones para realizar el </w:t>
      </w:r>
      <w:r w:rsidR="00D56F7F">
        <w:rPr>
          <w:rFonts w:ascii="Arial" w:hAnsi="Arial" w:cs="Arial"/>
          <w:sz w:val="24"/>
          <w:szCs w:val="24"/>
        </w:rPr>
        <w:t>análisis de ciclo de vida (ACV)</w:t>
      </w:r>
      <w:r>
        <w:rPr>
          <w:rFonts w:ascii="Arial" w:hAnsi="Arial" w:cs="Arial"/>
          <w:sz w:val="24"/>
          <w:szCs w:val="24"/>
        </w:rPr>
        <w:t xml:space="preserve">. </w:t>
      </w:r>
    </w:p>
    <w:p w14:paraId="091AAD4B" w14:textId="530851F1" w:rsidR="00955F89" w:rsidRPr="00AA5CA3" w:rsidRDefault="00955F89" w:rsidP="00AA5CA3">
      <w:pPr>
        <w:pStyle w:val="Prrafodelista"/>
        <w:numPr>
          <w:ilvl w:val="0"/>
          <w:numId w:val="1"/>
        </w:numPr>
        <w:spacing w:line="360" w:lineRule="auto"/>
        <w:jc w:val="both"/>
        <w:rPr>
          <w:rFonts w:ascii="Arial" w:hAnsi="Arial" w:cs="Arial"/>
          <w:sz w:val="24"/>
          <w:szCs w:val="24"/>
        </w:rPr>
      </w:pPr>
      <w:proofErr w:type="spellStart"/>
      <w:r w:rsidRPr="00AA5CA3">
        <w:rPr>
          <w:rFonts w:ascii="Arial" w:hAnsi="Arial" w:cs="Arial"/>
          <w:sz w:val="24"/>
          <w:szCs w:val="24"/>
        </w:rPr>
        <w:t>Evaluar</w:t>
      </w:r>
      <w:proofErr w:type="spellEnd"/>
      <w:r w:rsidRPr="00AA5CA3">
        <w:rPr>
          <w:rFonts w:ascii="Arial" w:hAnsi="Arial" w:cs="Arial"/>
          <w:sz w:val="24"/>
          <w:szCs w:val="24"/>
        </w:rPr>
        <w:t xml:space="preserve"> </w:t>
      </w:r>
      <w:proofErr w:type="spellStart"/>
      <w:r w:rsidRPr="00AA5CA3">
        <w:rPr>
          <w:rFonts w:ascii="Arial" w:hAnsi="Arial" w:cs="Arial"/>
          <w:sz w:val="24"/>
          <w:szCs w:val="24"/>
        </w:rPr>
        <w:t>el</w:t>
      </w:r>
      <w:proofErr w:type="spellEnd"/>
      <w:r w:rsidRPr="00AA5CA3">
        <w:rPr>
          <w:rFonts w:ascii="Arial" w:hAnsi="Arial" w:cs="Arial"/>
          <w:sz w:val="24"/>
          <w:szCs w:val="24"/>
        </w:rPr>
        <w:t xml:space="preserve"> </w:t>
      </w:r>
      <w:proofErr w:type="spellStart"/>
      <w:r w:rsidRPr="00AA5CA3">
        <w:rPr>
          <w:rFonts w:ascii="Arial" w:hAnsi="Arial" w:cs="Arial"/>
          <w:sz w:val="24"/>
          <w:szCs w:val="24"/>
        </w:rPr>
        <w:t>desempeño</w:t>
      </w:r>
      <w:proofErr w:type="spellEnd"/>
      <w:r w:rsidRPr="00AA5CA3">
        <w:rPr>
          <w:rFonts w:ascii="Arial" w:hAnsi="Arial" w:cs="Arial"/>
          <w:sz w:val="24"/>
          <w:szCs w:val="24"/>
        </w:rPr>
        <w:t xml:space="preserve"> de la </w:t>
      </w:r>
      <w:proofErr w:type="spellStart"/>
      <w:r w:rsidRPr="00AA5CA3">
        <w:rPr>
          <w:rFonts w:ascii="Arial" w:hAnsi="Arial" w:cs="Arial"/>
          <w:sz w:val="24"/>
          <w:szCs w:val="24"/>
        </w:rPr>
        <w:t>vegetación</w:t>
      </w:r>
      <w:proofErr w:type="spellEnd"/>
      <w:r w:rsidRPr="00AA5CA3">
        <w:rPr>
          <w:rFonts w:ascii="Arial" w:hAnsi="Arial" w:cs="Arial"/>
          <w:sz w:val="24"/>
          <w:szCs w:val="24"/>
        </w:rPr>
        <w:t xml:space="preserve"> del </w:t>
      </w:r>
      <w:proofErr w:type="spellStart"/>
      <w:r w:rsidRPr="00AA5CA3">
        <w:rPr>
          <w:rFonts w:ascii="Arial" w:hAnsi="Arial" w:cs="Arial"/>
          <w:sz w:val="24"/>
          <w:szCs w:val="24"/>
        </w:rPr>
        <w:t>techo</w:t>
      </w:r>
      <w:proofErr w:type="spellEnd"/>
      <w:r w:rsidRPr="00AA5CA3">
        <w:rPr>
          <w:rFonts w:ascii="Arial" w:hAnsi="Arial" w:cs="Arial"/>
          <w:sz w:val="24"/>
          <w:szCs w:val="24"/>
        </w:rPr>
        <w:t xml:space="preserve"> </w:t>
      </w:r>
      <w:proofErr w:type="spellStart"/>
      <w:r w:rsidRPr="00AA5CA3">
        <w:rPr>
          <w:rFonts w:ascii="Arial" w:hAnsi="Arial" w:cs="Arial"/>
          <w:sz w:val="24"/>
          <w:szCs w:val="24"/>
        </w:rPr>
        <w:t>verde</w:t>
      </w:r>
      <w:proofErr w:type="spellEnd"/>
      <w:r w:rsidRPr="00AA5CA3">
        <w:rPr>
          <w:rFonts w:ascii="Arial" w:hAnsi="Arial" w:cs="Arial"/>
          <w:sz w:val="24"/>
          <w:szCs w:val="24"/>
        </w:rPr>
        <w:t>.</w:t>
      </w:r>
    </w:p>
    <w:p w14:paraId="0B6BA9F2" w14:textId="2A2794A4" w:rsidR="00955F89" w:rsidRPr="00462731" w:rsidRDefault="00AA5CA3" w:rsidP="00462731">
      <w:pPr>
        <w:spacing w:line="360" w:lineRule="auto"/>
        <w:jc w:val="both"/>
        <w:rPr>
          <w:rFonts w:ascii="Arial" w:hAnsi="Arial" w:cs="Arial"/>
          <w:sz w:val="24"/>
          <w:szCs w:val="24"/>
        </w:rPr>
      </w:pPr>
      <w:r w:rsidRPr="00462731">
        <w:rPr>
          <w:rFonts w:ascii="Arial" w:hAnsi="Arial" w:cs="Arial"/>
          <w:sz w:val="24"/>
          <w:szCs w:val="24"/>
        </w:rPr>
        <w:t xml:space="preserve">Parcialmente cumplido. </w:t>
      </w:r>
      <w:r w:rsidR="00E87782" w:rsidRPr="00462731">
        <w:rPr>
          <w:rFonts w:ascii="Arial" w:hAnsi="Arial" w:cs="Arial"/>
          <w:sz w:val="24"/>
          <w:szCs w:val="24"/>
        </w:rPr>
        <w:t xml:space="preserve">El techo termino su período de estabilización (6 meses), se tienen resultados preliminares sobre su desempeño. </w:t>
      </w:r>
    </w:p>
    <w:p w14:paraId="65326BDF" w14:textId="77777777" w:rsidR="00955F89" w:rsidRDefault="00955F89"/>
    <w:p w14:paraId="67980226" w14:textId="666A957D" w:rsidR="000F6295" w:rsidRPr="002B18BD" w:rsidRDefault="002B18BD" w:rsidP="002B18BD">
      <w:pPr>
        <w:jc w:val="both"/>
        <w:rPr>
          <w:rFonts w:ascii="Arial" w:hAnsi="Arial" w:cs="Arial"/>
          <w:b/>
          <w:bCs/>
          <w:sz w:val="24"/>
          <w:szCs w:val="24"/>
        </w:rPr>
      </w:pPr>
      <w:r w:rsidRPr="002B18BD">
        <w:rPr>
          <w:rFonts w:ascii="Arial" w:hAnsi="Arial" w:cs="Arial"/>
          <w:b/>
          <w:bCs/>
          <w:sz w:val="24"/>
          <w:szCs w:val="24"/>
        </w:rPr>
        <w:lastRenderedPageBreak/>
        <w:t>Materiales y métodos</w:t>
      </w:r>
    </w:p>
    <w:p w14:paraId="32139187" w14:textId="77777777" w:rsidR="00892A5C" w:rsidRDefault="00892A5C" w:rsidP="00955F89">
      <w:pPr>
        <w:pStyle w:val="Default"/>
        <w:jc w:val="both"/>
        <w:rPr>
          <w:rFonts w:ascii="Arial" w:hAnsi="Arial" w:cs="Arial"/>
        </w:rPr>
      </w:pPr>
    </w:p>
    <w:p w14:paraId="0955EC9D" w14:textId="6E4BE7D0" w:rsidR="000F7F04" w:rsidRPr="00807274" w:rsidRDefault="00AB5FBF" w:rsidP="00AB5FBF">
      <w:pPr>
        <w:jc w:val="both"/>
        <w:rPr>
          <w:rFonts w:ascii="Arial" w:hAnsi="Arial" w:cs="Arial"/>
          <w:i/>
          <w:iCs/>
          <w:sz w:val="24"/>
          <w:szCs w:val="24"/>
        </w:rPr>
      </w:pPr>
      <w:r w:rsidRPr="00807274">
        <w:rPr>
          <w:rFonts w:ascii="Arial" w:hAnsi="Arial" w:cs="Arial"/>
          <w:i/>
          <w:iCs/>
          <w:sz w:val="24"/>
          <w:szCs w:val="24"/>
        </w:rPr>
        <w:t xml:space="preserve">Objetivo Específico 1. </w:t>
      </w:r>
    </w:p>
    <w:p w14:paraId="0FD7582F" w14:textId="46EC3221" w:rsidR="00892A5C" w:rsidRPr="00E1554B" w:rsidRDefault="005D0B0F" w:rsidP="006A143F">
      <w:pPr>
        <w:spacing w:line="360" w:lineRule="auto"/>
        <w:jc w:val="both"/>
        <w:rPr>
          <w:rFonts w:ascii="Arial" w:hAnsi="Arial" w:cs="Arial"/>
          <w:sz w:val="24"/>
          <w:szCs w:val="24"/>
        </w:rPr>
      </w:pPr>
      <w:r>
        <w:rPr>
          <w:rFonts w:ascii="Arial" w:hAnsi="Arial" w:cs="Arial"/>
          <w:sz w:val="24"/>
          <w:szCs w:val="24"/>
        </w:rPr>
        <w:t>Se creo un c</w:t>
      </w:r>
      <w:r w:rsidR="000F7F04" w:rsidRPr="000F7F04">
        <w:rPr>
          <w:rFonts w:ascii="Arial" w:hAnsi="Arial" w:cs="Arial"/>
          <w:sz w:val="24"/>
          <w:szCs w:val="24"/>
        </w:rPr>
        <w:t>uestionario semi estructurado preliminar (Anexo 1) con duración máxima de 30 min por grupo</w:t>
      </w:r>
      <w:r w:rsidR="00807274">
        <w:rPr>
          <w:rFonts w:ascii="Arial" w:hAnsi="Arial" w:cs="Arial"/>
          <w:sz w:val="24"/>
          <w:szCs w:val="24"/>
        </w:rPr>
        <w:t xml:space="preserve"> con la finalidad de realizar un estudio de percepción</w:t>
      </w:r>
      <w:r w:rsidR="000F7F04" w:rsidRPr="000F7F04">
        <w:rPr>
          <w:rFonts w:ascii="Arial" w:hAnsi="Arial" w:cs="Arial"/>
          <w:sz w:val="24"/>
          <w:szCs w:val="24"/>
        </w:rPr>
        <w:t xml:space="preserve">. Este estuvo compuesto, de seis preguntas cerradas de opción múltiple principalmente con el fin de </w:t>
      </w:r>
      <w:r>
        <w:rPr>
          <w:rFonts w:ascii="Arial" w:hAnsi="Arial" w:cs="Arial"/>
          <w:sz w:val="24"/>
          <w:szCs w:val="24"/>
        </w:rPr>
        <w:t>identificar el grado de conocimiento de</w:t>
      </w:r>
      <w:r w:rsidR="00E1554B">
        <w:rPr>
          <w:rFonts w:ascii="Arial" w:hAnsi="Arial" w:cs="Arial"/>
          <w:sz w:val="24"/>
          <w:szCs w:val="24"/>
        </w:rPr>
        <w:t>l entendimiento</w:t>
      </w:r>
      <w:r w:rsidR="000F7F04" w:rsidRPr="000F7F04">
        <w:rPr>
          <w:rFonts w:ascii="Arial" w:hAnsi="Arial" w:cs="Arial"/>
          <w:sz w:val="24"/>
          <w:szCs w:val="24"/>
        </w:rPr>
        <w:t xml:space="preserve"> </w:t>
      </w:r>
      <w:r w:rsidR="00E1554B">
        <w:rPr>
          <w:rFonts w:ascii="Arial" w:hAnsi="Arial" w:cs="Arial"/>
          <w:sz w:val="24"/>
          <w:szCs w:val="24"/>
        </w:rPr>
        <w:t>de</w:t>
      </w:r>
      <w:r w:rsidR="000F7F04" w:rsidRPr="000F7F04">
        <w:rPr>
          <w:rFonts w:ascii="Arial" w:hAnsi="Arial" w:cs="Arial"/>
          <w:sz w:val="24"/>
          <w:szCs w:val="24"/>
        </w:rPr>
        <w:t xml:space="preserve"> conceptos como AVU, </w:t>
      </w:r>
      <w:proofErr w:type="spellStart"/>
      <w:r w:rsidR="000F7F04" w:rsidRPr="000F7F04">
        <w:rPr>
          <w:rFonts w:ascii="Arial" w:hAnsi="Arial" w:cs="Arial"/>
          <w:sz w:val="24"/>
          <w:szCs w:val="24"/>
        </w:rPr>
        <w:t>SbN</w:t>
      </w:r>
      <w:proofErr w:type="spellEnd"/>
      <w:r w:rsidR="000F7F04" w:rsidRPr="000F7F04">
        <w:rPr>
          <w:rFonts w:ascii="Arial" w:hAnsi="Arial" w:cs="Arial"/>
          <w:sz w:val="24"/>
          <w:szCs w:val="24"/>
        </w:rPr>
        <w:t xml:space="preserve"> y techo verde</w:t>
      </w:r>
      <w:r w:rsidR="000F7F04">
        <w:rPr>
          <w:rFonts w:ascii="Arial" w:hAnsi="Arial" w:cs="Arial"/>
          <w:sz w:val="24"/>
          <w:szCs w:val="24"/>
        </w:rPr>
        <w:t>.</w:t>
      </w:r>
      <w:r w:rsidR="00E1554B">
        <w:rPr>
          <w:rFonts w:ascii="Arial" w:hAnsi="Arial" w:cs="Arial"/>
          <w:sz w:val="24"/>
          <w:szCs w:val="24"/>
        </w:rPr>
        <w:t xml:space="preserve"> Este fue aplicado</w:t>
      </w:r>
      <w:r w:rsidR="000F7F04">
        <w:rPr>
          <w:rFonts w:ascii="Arial" w:hAnsi="Arial" w:cs="Arial"/>
          <w:sz w:val="24"/>
          <w:szCs w:val="24"/>
        </w:rPr>
        <w:t xml:space="preserve"> </w:t>
      </w:r>
      <w:r w:rsidR="00892A5C" w:rsidRPr="000F7F04">
        <w:rPr>
          <w:rFonts w:ascii="Arial" w:hAnsi="Arial" w:cs="Arial"/>
          <w:sz w:val="24"/>
          <w:szCs w:val="24"/>
        </w:rPr>
        <w:t>a 18 grupos de los tres grados de la Secundaria Diurna 110 “Máximo Gorki</w:t>
      </w:r>
      <w:r w:rsidR="00E1554B">
        <w:rPr>
          <w:rFonts w:ascii="Arial" w:hAnsi="Arial" w:cs="Arial"/>
          <w:sz w:val="24"/>
          <w:szCs w:val="24"/>
        </w:rPr>
        <w:t xml:space="preserve">”. </w:t>
      </w:r>
      <w:r w:rsidR="00892A5C" w:rsidRPr="00E1554B">
        <w:rPr>
          <w:rFonts w:ascii="Arial" w:hAnsi="Arial" w:cs="Arial"/>
          <w:sz w:val="24"/>
          <w:szCs w:val="24"/>
        </w:rPr>
        <w:t>Con estos resultados se está diseñando el contenido del taller interactivo que abarcará temáticas en las cuales se carece de conocimiento.</w:t>
      </w:r>
    </w:p>
    <w:p w14:paraId="6F8FDF23" w14:textId="53FA516E" w:rsidR="00892A5C" w:rsidRDefault="00892A5C" w:rsidP="00892A5C">
      <w:pPr>
        <w:pStyle w:val="Prrafodelista"/>
        <w:jc w:val="both"/>
        <w:rPr>
          <w:rFonts w:ascii="Arial" w:hAnsi="Arial" w:cs="Arial"/>
          <w:sz w:val="24"/>
          <w:szCs w:val="24"/>
          <w:lang w:val="es-MX"/>
        </w:rPr>
      </w:pPr>
    </w:p>
    <w:p w14:paraId="03B2BADA" w14:textId="77777777" w:rsidR="00807274" w:rsidRPr="00807274" w:rsidRDefault="00AB5FBF" w:rsidP="00AB5FBF">
      <w:pPr>
        <w:jc w:val="both"/>
        <w:rPr>
          <w:rFonts w:ascii="Arial" w:hAnsi="Arial" w:cs="Arial"/>
          <w:i/>
          <w:iCs/>
          <w:sz w:val="24"/>
          <w:szCs w:val="24"/>
        </w:rPr>
      </w:pPr>
      <w:r w:rsidRPr="00807274">
        <w:rPr>
          <w:rFonts w:ascii="Arial" w:hAnsi="Arial" w:cs="Arial"/>
          <w:i/>
          <w:iCs/>
          <w:sz w:val="24"/>
          <w:szCs w:val="24"/>
        </w:rPr>
        <w:t xml:space="preserve">Objetivo Específico 2. </w:t>
      </w:r>
    </w:p>
    <w:p w14:paraId="0D5090A6" w14:textId="1F2CB2D9" w:rsidR="00A31595" w:rsidRDefault="00892A5C" w:rsidP="006A143F">
      <w:pPr>
        <w:spacing w:line="360" w:lineRule="auto"/>
        <w:jc w:val="both"/>
        <w:rPr>
          <w:rFonts w:ascii="Arial" w:hAnsi="Arial" w:cs="Arial"/>
          <w:sz w:val="24"/>
          <w:szCs w:val="24"/>
        </w:rPr>
      </w:pPr>
      <w:r w:rsidRPr="00BD48E2">
        <w:rPr>
          <w:rFonts w:ascii="Arial" w:hAnsi="Arial" w:cs="Arial"/>
          <w:sz w:val="24"/>
          <w:szCs w:val="24"/>
        </w:rPr>
        <w:t>La ins</w:t>
      </w:r>
      <w:r w:rsidR="00BD48E2">
        <w:rPr>
          <w:rFonts w:ascii="Arial" w:hAnsi="Arial" w:cs="Arial"/>
          <w:sz w:val="24"/>
          <w:szCs w:val="24"/>
        </w:rPr>
        <w:t>t</w:t>
      </w:r>
      <w:r w:rsidRPr="00BD48E2">
        <w:rPr>
          <w:rFonts w:ascii="Arial" w:hAnsi="Arial" w:cs="Arial"/>
          <w:sz w:val="24"/>
          <w:szCs w:val="24"/>
        </w:rPr>
        <w:t>alación se realizó el día 15 y 16 de diciembre de 2022</w:t>
      </w:r>
      <w:r w:rsidR="004A0A54" w:rsidRPr="00BD48E2">
        <w:rPr>
          <w:rFonts w:ascii="Arial" w:hAnsi="Arial" w:cs="Arial"/>
          <w:sz w:val="24"/>
          <w:szCs w:val="24"/>
        </w:rPr>
        <w:t xml:space="preserve"> (Fi</w:t>
      </w:r>
      <w:r w:rsidR="00806058" w:rsidRPr="00BD48E2">
        <w:rPr>
          <w:rFonts w:ascii="Arial" w:hAnsi="Arial" w:cs="Arial"/>
          <w:sz w:val="24"/>
          <w:szCs w:val="24"/>
        </w:rPr>
        <w:t>gura 1)</w:t>
      </w:r>
      <w:r w:rsidRPr="00BD48E2">
        <w:rPr>
          <w:rFonts w:ascii="Arial" w:hAnsi="Arial" w:cs="Arial"/>
          <w:sz w:val="24"/>
          <w:szCs w:val="24"/>
        </w:rPr>
        <w:t>, se instaló un TVLE de 6m</w:t>
      </w:r>
      <w:r w:rsidRPr="00BD48E2">
        <w:rPr>
          <w:rFonts w:ascii="Arial" w:hAnsi="Arial" w:cs="Arial"/>
          <w:sz w:val="24"/>
          <w:szCs w:val="24"/>
          <w:vertAlign w:val="superscript"/>
        </w:rPr>
        <w:t>2</w:t>
      </w:r>
      <w:r w:rsidRPr="00BD48E2">
        <w:rPr>
          <w:rFonts w:ascii="Arial" w:hAnsi="Arial" w:cs="Arial"/>
          <w:sz w:val="24"/>
          <w:szCs w:val="24"/>
        </w:rPr>
        <w:t xml:space="preserve"> de superficie con una combinación de 50-50% de paja con fibra de como </w:t>
      </w:r>
      <w:r w:rsidR="00936848" w:rsidRPr="00BD48E2">
        <w:rPr>
          <w:rFonts w:ascii="Arial" w:hAnsi="Arial" w:cs="Arial"/>
          <w:sz w:val="24"/>
          <w:szCs w:val="24"/>
        </w:rPr>
        <w:t xml:space="preserve">materiales orgánicos residuales </w:t>
      </w:r>
      <w:r w:rsidR="00936848">
        <w:rPr>
          <w:rFonts w:ascii="Arial" w:hAnsi="Arial" w:cs="Arial"/>
          <w:sz w:val="24"/>
          <w:szCs w:val="24"/>
        </w:rPr>
        <w:t>(</w:t>
      </w:r>
      <w:r w:rsidRPr="00BD48E2">
        <w:rPr>
          <w:rFonts w:ascii="Arial" w:hAnsi="Arial" w:cs="Arial"/>
          <w:sz w:val="24"/>
          <w:szCs w:val="24"/>
        </w:rPr>
        <w:t>MOR</w:t>
      </w:r>
      <w:r w:rsidR="00936848">
        <w:rPr>
          <w:rFonts w:ascii="Arial" w:hAnsi="Arial" w:cs="Arial"/>
          <w:sz w:val="24"/>
          <w:szCs w:val="24"/>
        </w:rPr>
        <w:t>)</w:t>
      </w:r>
      <w:r w:rsidRPr="00BD48E2">
        <w:rPr>
          <w:rFonts w:ascii="Arial" w:hAnsi="Arial" w:cs="Arial"/>
          <w:sz w:val="24"/>
          <w:szCs w:val="24"/>
        </w:rPr>
        <w:t xml:space="preserve"> en la capa drenante en la caseta de vigilancia de la entrada principal del Centro Interdisciplinario de Investigaciones y Estudios sobre Medio Ambiente y Desarrollo (CIIEMAD).</w:t>
      </w:r>
      <w:r w:rsidR="00105DFE">
        <w:rPr>
          <w:rFonts w:ascii="Arial" w:hAnsi="Arial" w:cs="Arial"/>
          <w:sz w:val="24"/>
          <w:szCs w:val="24"/>
        </w:rPr>
        <w:t xml:space="preserve"> </w:t>
      </w:r>
      <w:r w:rsidR="00105DFE" w:rsidRPr="00BD48E2">
        <w:rPr>
          <w:rFonts w:ascii="Arial" w:hAnsi="Arial" w:cs="Arial"/>
          <w:sz w:val="24"/>
          <w:szCs w:val="24"/>
        </w:rPr>
        <w:t>La obtención de los MOR, en el caso de la fibra de coco fue de diversos mercados sobre ruedas de la Ciudad de México, y la paja de un sitio de forraje del Estado de México.</w:t>
      </w:r>
      <w:r w:rsidR="00105DFE">
        <w:rPr>
          <w:rFonts w:ascii="Arial" w:hAnsi="Arial" w:cs="Arial"/>
          <w:sz w:val="24"/>
          <w:szCs w:val="24"/>
        </w:rPr>
        <w:t xml:space="preserve"> </w:t>
      </w:r>
      <w:r w:rsidRPr="00BD48E2">
        <w:rPr>
          <w:rFonts w:ascii="Arial" w:hAnsi="Arial" w:cs="Arial"/>
          <w:sz w:val="24"/>
          <w:szCs w:val="24"/>
        </w:rPr>
        <w:t xml:space="preserve"> La estructura de este TVLE se conforma según la tabla</w:t>
      </w:r>
      <w:r w:rsidR="00936848">
        <w:rPr>
          <w:rFonts w:ascii="Arial" w:hAnsi="Arial" w:cs="Arial"/>
          <w:sz w:val="24"/>
          <w:szCs w:val="24"/>
        </w:rPr>
        <w:t xml:space="preserve"> 1</w:t>
      </w:r>
      <w:r w:rsidRPr="00BD48E2">
        <w:rPr>
          <w:rFonts w:ascii="Arial" w:hAnsi="Arial" w:cs="Arial"/>
          <w:sz w:val="24"/>
          <w:szCs w:val="24"/>
        </w:rPr>
        <w:t>.</w:t>
      </w:r>
    </w:p>
    <w:p w14:paraId="10D5FE2F" w14:textId="77777777" w:rsidR="00A31595" w:rsidRDefault="00A31595">
      <w:pPr>
        <w:rPr>
          <w:rFonts w:ascii="Arial" w:hAnsi="Arial" w:cs="Arial"/>
          <w:sz w:val="24"/>
          <w:szCs w:val="24"/>
        </w:rPr>
      </w:pPr>
      <w:r>
        <w:rPr>
          <w:rFonts w:ascii="Arial" w:hAnsi="Arial" w:cs="Arial"/>
          <w:sz w:val="24"/>
          <w:szCs w:val="24"/>
        </w:rPr>
        <w:br w:type="page"/>
      </w:r>
    </w:p>
    <w:p w14:paraId="6C554B0A" w14:textId="77777777" w:rsidR="00892A5C" w:rsidRPr="00A36576" w:rsidRDefault="00892A5C" w:rsidP="006A143F">
      <w:pPr>
        <w:spacing w:line="360" w:lineRule="auto"/>
        <w:jc w:val="both"/>
        <w:rPr>
          <w:rFonts w:ascii="Arial" w:hAnsi="Arial" w:cs="Arial"/>
          <w:sz w:val="24"/>
          <w:szCs w:val="24"/>
        </w:rPr>
      </w:pPr>
    </w:p>
    <w:p w14:paraId="0E2C5C74" w14:textId="53FB1D44" w:rsidR="00105DFE" w:rsidRPr="00105DFE" w:rsidRDefault="00105DFE" w:rsidP="00105DFE">
      <w:pPr>
        <w:pStyle w:val="Descripcin"/>
        <w:keepNext/>
        <w:spacing w:after="0"/>
        <w:rPr>
          <w:rFonts w:ascii="Arial" w:hAnsi="Arial" w:cs="Arial"/>
          <w:i w:val="0"/>
          <w:iCs w:val="0"/>
          <w:color w:val="auto"/>
          <w:sz w:val="20"/>
          <w:szCs w:val="20"/>
        </w:rPr>
      </w:pPr>
      <w:r w:rsidRPr="00105DFE">
        <w:rPr>
          <w:rFonts w:ascii="Arial" w:hAnsi="Arial" w:cs="Arial"/>
          <w:b/>
          <w:bCs/>
          <w:i w:val="0"/>
          <w:iCs w:val="0"/>
          <w:color w:val="auto"/>
          <w:sz w:val="20"/>
          <w:szCs w:val="20"/>
        </w:rPr>
        <w:t xml:space="preserve">Tabla </w:t>
      </w:r>
      <w:r w:rsidRPr="00105DFE">
        <w:rPr>
          <w:rFonts w:ascii="Arial" w:hAnsi="Arial" w:cs="Arial"/>
          <w:b/>
          <w:bCs/>
          <w:i w:val="0"/>
          <w:iCs w:val="0"/>
          <w:color w:val="auto"/>
          <w:sz w:val="20"/>
          <w:szCs w:val="20"/>
        </w:rPr>
        <w:fldChar w:fldCharType="begin"/>
      </w:r>
      <w:r w:rsidRPr="00105DFE">
        <w:rPr>
          <w:rFonts w:ascii="Arial" w:hAnsi="Arial" w:cs="Arial"/>
          <w:b/>
          <w:bCs/>
          <w:i w:val="0"/>
          <w:iCs w:val="0"/>
          <w:color w:val="auto"/>
          <w:sz w:val="20"/>
          <w:szCs w:val="20"/>
        </w:rPr>
        <w:instrText xml:space="preserve"> SEQ Tabla \* ARABIC </w:instrText>
      </w:r>
      <w:r w:rsidRPr="00105DFE">
        <w:rPr>
          <w:rFonts w:ascii="Arial" w:hAnsi="Arial" w:cs="Arial"/>
          <w:b/>
          <w:bCs/>
          <w:i w:val="0"/>
          <w:iCs w:val="0"/>
          <w:color w:val="auto"/>
          <w:sz w:val="20"/>
          <w:szCs w:val="20"/>
        </w:rPr>
        <w:fldChar w:fldCharType="separate"/>
      </w:r>
      <w:r w:rsidRPr="00105DFE">
        <w:rPr>
          <w:rFonts w:ascii="Arial" w:hAnsi="Arial" w:cs="Arial"/>
          <w:b/>
          <w:bCs/>
          <w:i w:val="0"/>
          <w:iCs w:val="0"/>
          <w:noProof/>
          <w:color w:val="auto"/>
          <w:sz w:val="20"/>
          <w:szCs w:val="20"/>
        </w:rPr>
        <w:t>1</w:t>
      </w:r>
      <w:r w:rsidRPr="00105DFE">
        <w:rPr>
          <w:rFonts w:ascii="Arial" w:hAnsi="Arial" w:cs="Arial"/>
          <w:b/>
          <w:bCs/>
          <w:i w:val="0"/>
          <w:iCs w:val="0"/>
          <w:color w:val="auto"/>
          <w:sz w:val="20"/>
          <w:szCs w:val="20"/>
        </w:rPr>
        <w:fldChar w:fldCharType="end"/>
      </w:r>
      <w:r w:rsidRPr="00105DFE">
        <w:rPr>
          <w:rFonts w:ascii="Arial" w:hAnsi="Arial" w:cs="Arial"/>
          <w:b/>
          <w:bCs/>
          <w:i w:val="0"/>
          <w:iCs w:val="0"/>
          <w:color w:val="auto"/>
          <w:sz w:val="20"/>
          <w:szCs w:val="20"/>
        </w:rPr>
        <w:t>.</w:t>
      </w:r>
      <w:r w:rsidRPr="00105DFE">
        <w:rPr>
          <w:rFonts w:ascii="Arial" w:hAnsi="Arial" w:cs="Arial"/>
          <w:i w:val="0"/>
          <w:iCs w:val="0"/>
          <w:color w:val="auto"/>
          <w:sz w:val="20"/>
          <w:szCs w:val="20"/>
        </w:rPr>
        <w:t xml:space="preserve"> Capas de la estructura del TVLE</w:t>
      </w:r>
    </w:p>
    <w:tbl>
      <w:tblPr>
        <w:tblStyle w:val="Tablanormal2"/>
        <w:tblW w:w="8857" w:type="dxa"/>
        <w:tblLayout w:type="fixed"/>
        <w:tblLook w:val="04A0" w:firstRow="1" w:lastRow="0" w:firstColumn="1" w:lastColumn="0" w:noHBand="0" w:noVBand="1"/>
      </w:tblPr>
      <w:tblGrid>
        <w:gridCol w:w="2105"/>
        <w:gridCol w:w="4936"/>
        <w:gridCol w:w="1816"/>
      </w:tblGrid>
      <w:tr w:rsidR="00892A5C" w:rsidRPr="007B1D4C" w14:paraId="43899722" w14:textId="77777777" w:rsidTr="00105DFE">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05" w:type="dxa"/>
          </w:tcPr>
          <w:p w14:paraId="66C9F2C4" w14:textId="77777777" w:rsidR="00892A5C" w:rsidRPr="007B1D4C" w:rsidRDefault="00892A5C" w:rsidP="008A2114">
            <w:pPr>
              <w:tabs>
                <w:tab w:val="left" w:pos="5461"/>
              </w:tabs>
              <w:spacing w:line="360" w:lineRule="auto"/>
              <w:jc w:val="center"/>
              <w:rPr>
                <w:rFonts w:ascii="Arial" w:hAnsi="Arial" w:cs="Arial"/>
                <w:sz w:val="20"/>
                <w:szCs w:val="20"/>
              </w:rPr>
            </w:pPr>
            <w:r w:rsidRPr="007B1D4C">
              <w:rPr>
                <w:rFonts w:ascii="Arial" w:hAnsi="Arial" w:cs="Arial"/>
                <w:sz w:val="20"/>
                <w:szCs w:val="20"/>
              </w:rPr>
              <w:t>Capa</w:t>
            </w:r>
          </w:p>
        </w:tc>
        <w:tc>
          <w:tcPr>
            <w:tcW w:w="4936" w:type="dxa"/>
          </w:tcPr>
          <w:p w14:paraId="6C732776" w14:textId="77777777" w:rsidR="00892A5C" w:rsidRPr="007B1D4C" w:rsidRDefault="00892A5C" w:rsidP="008A2114">
            <w:pPr>
              <w:tabs>
                <w:tab w:val="left" w:pos="5461"/>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B1D4C">
              <w:rPr>
                <w:rFonts w:ascii="Arial" w:hAnsi="Arial" w:cs="Arial"/>
                <w:sz w:val="20"/>
                <w:szCs w:val="20"/>
              </w:rPr>
              <w:t>Material</w:t>
            </w:r>
          </w:p>
        </w:tc>
        <w:tc>
          <w:tcPr>
            <w:tcW w:w="1816" w:type="dxa"/>
          </w:tcPr>
          <w:p w14:paraId="18BDC70A" w14:textId="77777777" w:rsidR="00892A5C" w:rsidRPr="007B1D4C" w:rsidRDefault="00892A5C" w:rsidP="008A2114">
            <w:pPr>
              <w:tabs>
                <w:tab w:val="left" w:pos="5461"/>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B1D4C">
              <w:rPr>
                <w:rFonts w:ascii="Arial" w:hAnsi="Arial" w:cs="Arial"/>
                <w:sz w:val="20"/>
                <w:szCs w:val="20"/>
              </w:rPr>
              <w:t>Cantidad</w:t>
            </w:r>
          </w:p>
        </w:tc>
      </w:tr>
      <w:tr w:rsidR="00892A5C" w:rsidRPr="007B1D4C" w14:paraId="2CAA84CE" w14:textId="77777777" w:rsidTr="00105DF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105" w:type="dxa"/>
          </w:tcPr>
          <w:p w14:paraId="1077DEA7" w14:textId="77777777" w:rsidR="00892A5C" w:rsidRPr="007B1D4C" w:rsidRDefault="00892A5C" w:rsidP="008A2114">
            <w:pPr>
              <w:tabs>
                <w:tab w:val="left" w:pos="5461"/>
              </w:tabs>
              <w:spacing w:line="360" w:lineRule="auto"/>
              <w:jc w:val="both"/>
              <w:rPr>
                <w:rFonts w:ascii="Arial" w:hAnsi="Arial" w:cs="Arial"/>
                <w:b w:val="0"/>
                <w:bCs w:val="0"/>
                <w:sz w:val="20"/>
                <w:szCs w:val="20"/>
              </w:rPr>
            </w:pPr>
            <w:r w:rsidRPr="007B1D4C">
              <w:rPr>
                <w:rFonts w:ascii="Arial" w:hAnsi="Arial" w:cs="Arial"/>
                <w:b w:val="0"/>
                <w:bCs w:val="0"/>
                <w:sz w:val="20"/>
                <w:szCs w:val="20"/>
              </w:rPr>
              <w:t>Impermeabilizante</w:t>
            </w:r>
          </w:p>
        </w:tc>
        <w:tc>
          <w:tcPr>
            <w:tcW w:w="4936" w:type="dxa"/>
          </w:tcPr>
          <w:p w14:paraId="61A56457" w14:textId="77777777" w:rsidR="00892A5C" w:rsidRPr="007B1D4C" w:rsidRDefault="00892A5C" w:rsidP="008A2114">
            <w:pPr>
              <w:tabs>
                <w:tab w:val="left" w:pos="5461"/>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1D4C">
              <w:rPr>
                <w:rFonts w:ascii="Arial" w:hAnsi="Arial" w:cs="Arial"/>
                <w:sz w:val="20"/>
                <w:szCs w:val="20"/>
              </w:rPr>
              <w:t xml:space="preserve">Impermeabilizante de acrílico </w:t>
            </w:r>
            <w:proofErr w:type="spellStart"/>
            <w:r w:rsidRPr="007B1D4C">
              <w:rPr>
                <w:rFonts w:ascii="Arial" w:hAnsi="Arial" w:cs="Arial"/>
                <w:sz w:val="20"/>
                <w:szCs w:val="20"/>
              </w:rPr>
              <w:t>fibratado</w:t>
            </w:r>
            <w:proofErr w:type="spellEnd"/>
          </w:p>
        </w:tc>
        <w:tc>
          <w:tcPr>
            <w:tcW w:w="1816" w:type="dxa"/>
          </w:tcPr>
          <w:p w14:paraId="210735E0" w14:textId="77777777" w:rsidR="00892A5C" w:rsidRPr="007B1D4C" w:rsidRDefault="00892A5C" w:rsidP="008A2114">
            <w:pPr>
              <w:tabs>
                <w:tab w:val="left" w:pos="54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1D4C">
              <w:rPr>
                <w:rFonts w:ascii="Arial" w:hAnsi="Arial" w:cs="Arial"/>
                <w:sz w:val="20"/>
                <w:szCs w:val="20"/>
              </w:rPr>
              <w:t>8.05 m</w:t>
            </w:r>
            <w:r w:rsidRPr="007B1D4C">
              <w:rPr>
                <w:rFonts w:ascii="Arial" w:hAnsi="Arial" w:cs="Arial"/>
                <w:sz w:val="20"/>
                <w:szCs w:val="20"/>
                <w:vertAlign w:val="superscript"/>
              </w:rPr>
              <w:t>2</w:t>
            </w:r>
          </w:p>
        </w:tc>
      </w:tr>
      <w:tr w:rsidR="00892A5C" w:rsidRPr="007B1D4C" w14:paraId="6EDA8482" w14:textId="77777777" w:rsidTr="00105DFE">
        <w:trPr>
          <w:trHeight w:val="368"/>
        </w:trPr>
        <w:tc>
          <w:tcPr>
            <w:cnfStyle w:val="001000000000" w:firstRow="0" w:lastRow="0" w:firstColumn="1" w:lastColumn="0" w:oddVBand="0" w:evenVBand="0" w:oddHBand="0" w:evenHBand="0" w:firstRowFirstColumn="0" w:firstRowLastColumn="0" w:lastRowFirstColumn="0" w:lastRowLastColumn="0"/>
            <w:tcW w:w="2105" w:type="dxa"/>
          </w:tcPr>
          <w:p w14:paraId="24B58FAE" w14:textId="77777777" w:rsidR="00892A5C" w:rsidRPr="007B1D4C" w:rsidRDefault="00892A5C" w:rsidP="008A2114">
            <w:pPr>
              <w:tabs>
                <w:tab w:val="left" w:pos="5461"/>
              </w:tabs>
              <w:spacing w:line="360" w:lineRule="auto"/>
              <w:jc w:val="both"/>
              <w:rPr>
                <w:rFonts w:ascii="Arial" w:hAnsi="Arial" w:cs="Arial"/>
                <w:b w:val="0"/>
                <w:bCs w:val="0"/>
                <w:sz w:val="20"/>
                <w:szCs w:val="20"/>
              </w:rPr>
            </w:pPr>
            <w:proofErr w:type="spellStart"/>
            <w:r w:rsidRPr="007B1D4C">
              <w:rPr>
                <w:rFonts w:ascii="Arial" w:hAnsi="Arial" w:cs="Arial"/>
                <w:b w:val="0"/>
                <w:bCs w:val="0"/>
                <w:sz w:val="20"/>
                <w:szCs w:val="20"/>
              </w:rPr>
              <w:t>Anti-raíz</w:t>
            </w:r>
            <w:proofErr w:type="spellEnd"/>
          </w:p>
        </w:tc>
        <w:tc>
          <w:tcPr>
            <w:tcW w:w="4936" w:type="dxa"/>
          </w:tcPr>
          <w:p w14:paraId="6455CC91" w14:textId="195F5328" w:rsidR="00892A5C" w:rsidRPr="007B1D4C" w:rsidRDefault="00892A5C" w:rsidP="008A2114">
            <w:pPr>
              <w:tabs>
                <w:tab w:val="left" w:pos="5461"/>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B1D4C">
              <w:rPr>
                <w:rFonts w:ascii="Arial" w:hAnsi="Arial" w:cs="Arial"/>
                <w:sz w:val="20"/>
                <w:szCs w:val="20"/>
              </w:rPr>
              <w:t>Impermeabilizante de membrana asfáltica</w:t>
            </w:r>
            <w:r w:rsidR="00B10AB3">
              <w:rPr>
                <w:rFonts w:ascii="Arial" w:hAnsi="Arial" w:cs="Arial"/>
                <w:sz w:val="20"/>
                <w:szCs w:val="20"/>
              </w:rPr>
              <w:t xml:space="preserve"> </w:t>
            </w:r>
            <w:proofErr w:type="spellStart"/>
            <w:r w:rsidRPr="007B1D4C">
              <w:rPr>
                <w:rFonts w:ascii="Arial" w:hAnsi="Arial" w:cs="Arial"/>
                <w:sz w:val="20"/>
                <w:szCs w:val="20"/>
              </w:rPr>
              <w:t>anti-raíz</w:t>
            </w:r>
            <w:proofErr w:type="spellEnd"/>
          </w:p>
        </w:tc>
        <w:tc>
          <w:tcPr>
            <w:tcW w:w="1816" w:type="dxa"/>
          </w:tcPr>
          <w:p w14:paraId="4A95C605" w14:textId="77777777" w:rsidR="00892A5C" w:rsidRPr="007B1D4C" w:rsidRDefault="00892A5C" w:rsidP="008A2114">
            <w:pPr>
              <w:tabs>
                <w:tab w:val="left" w:pos="54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B1D4C">
              <w:rPr>
                <w:rFonts w:ascii="Arial" w:hAnsi="Arial" w:cs="Arial"/>
                <w:sz w:val="20"/>
                <w:szCs w:val="20"/>
              </w:rPr>
              <w:t>8.05 m</w:t>
            </w:r>
            <w:r w:rsidRPr="007B1D4C">
              <w:rPr>
                <w:rFonts w:ascii="Arial" w:hAnsi="Arial" w:cs="Arial"/>
                <w:sz w:val="20"/>
                <w:szCs w:val="20"/>
                <w:vertAlign w:val="superscript"/>
              </w:rPr>
              <w:t>2</w:t>
            </w:r>
          </w:p>
        </w:tc>
      </w:tr>
      <w:tr w:rsidR="00892A5C" w:rsidRPr="007B1D4C" w14:paraId="7FEE515A" w14:textId="77777777" w:rsidTr="00105D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05" w:type="dxa"/>
          </w:tcPr>
          <w:p w14:paraId="501A4F22" w14:textId="77777777" w:rsidR="00892A5C" w:rsidRPr="007B1D4C" w:rsidRDefault="00892A5C" w:rsidP="008A2114">
            <w:pPr>
              <w:tabs>
                <w:tab w:val="left" w:pos="5461"/>
              </w:tabs>
              <w:spacing w:line="360" w:lineRule="auto"/>
              <w:jc w:val="both"/>
              <w:rPr>
                <w:rFonts w:ascii="Arial" w:hAnsi="Arial" w:cs="Arial"/>
                <w:b w:val="0"/>
                <w:bCs w:val="0"/>
                <w:sz w:val="20"/>
                <w:szCs w:val="20"/>
              </w:rPr>
            </w:pPr>
            <w:r w:rsidRPr="007B1D4C">
              <w:rPr>
                <w:rFonts w:ascii="Arial" w:hAnsi="Arial" w:cs="Arial"/>
                <w:b w:val="0"/>
                <w:bCs w:val="0"/>
                <w:sz w:val="20"/>
                <w:szCs w:val="20"/>
              </w:rPr>
              <w:t>Geotextil</w:t>
            </w:r>
          </w:p>
        </w:tc>
        <w:tc>
          <w:tcPr>
            <w:tcW w:w="4936" w:type="dxa"/>
          </w:tcPr>
          <w:p w14:paraId="1C5AB860" w14:textId="77777777" w:rsidR="00892A5C" w:rsidRPr="007B1D4C" w:rsidRDefault="00892A5C" w:rsidP="008A2114">
            <w:pPr>
              <w:tabs>
                <w:tab w:val="left" w:pos="5461"/>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1D4C">
              <w:rPr>
                <w:rFonts w:ascii="Arial" w:hAnsi="Arial" w:cs="Arial"/>
                <w:sz w:val="20"/>
                <w:szCs w:val="20"/>
              </w:rPr>
              <w:t>Geotextil de 160g</w:t>
            </w:r>
          </w:p>
        </w:tc>
        <w:tc>
          <w:tcPr>
            <w:tcW w:w="1816" w:type="dxa"/>
          </w:tcPr>
          <w:p w14:paraId="5F5FF95D" w14:textId="77777777" w:rsidR="00892A5C" w:rsidRPr="007B1D4C" w:rsidRDefault="00892A5C" w:rsidP="008A2114">
            <w:pPr>
              <w:tabs>
                <w:tab w:val="left" w:pos="54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1D4C">
              <w:rPr>
                <w:rFonts w:ascii="Arial" w:hAnsi="Arial" w:cs="Arial"/>
                <w:sz w:val="20"/>
                <w:szCs w:val="20"/>
              </w:rPr>
              <w:t>8.05 m</w:t>
            </w:r>
            <w:r w:rsidRPr="007B1D4C">
              <w:rPr>
                <w:rFonts w:ascii="Arial" w:hAnsi="Arial" w:cs="Arial"/>
                <w:sz w:val="20"/>
                <w:szCs w:val="20"/>
                <w:vertAlign w:val="superscript"/>
              </w:rPr>
              <w:t>2</w:t>
            </w:r>
          </w:p>
        </w:tc>
      </w:tr>
      <w:tr w:rsidR="00892A5C" w:rsidRPr="007B1D4C" w14:paraId="0A1D0172" w14:textId="77777777" w:rsidTr="00105DFE">
        <w:trPr>
          <w:trHeight w:val="144"/>
        </w:trPr>
        <w:tc>
          <w:tcPr>
            <w:cnfStyle w:val="001000000000" w:firstRow="0" w:lastRow="0" w:firstColumn="1" w:lastColumn="0" w:oddVBand="0" w:evenVBand="0" w:oddHBand="0" w:evenHBand="0" w:firstRowFirstColumn="0" w:firstRowLastColumn="0" w:lastRowFirstColumn="0" w:lastRowLastColumn="0"/>
            <w:tcW w:w="2105" w:type="dxa"/>
          </w:tcPr>
          <w:p w14:paraId="74B3F176" w14:textId="77777777" w:rsidR="00892A5C" w:rsidRPr="007B1D4C" w:rsidRDefault="00892A5C" w:rsidP="008A2114">
            <w:pPr>
              <w:tabs>
                <w:tab w:val="left" w:pos="5461"/>
              </w:tabs>
              <w:spacing w:line="360" w:lineRule="auto"/>
              <w:jc w:val="both"/>
              <w:rPr>
                <w:rFonts w:ascii="Arial" w:hAnsi="Arial" w:cs="Arial"/>
                <w:b w:val="0"/>
                <w:bCs w:val="0"/>
                <w:sz w:val="20"/>
                <w:szCs w:val="20"/>
              </w:rPr>
            </w:pPr>
            <w:r w:rsidRPr="007B1D4C">
              <w:rPr>
                <w:rFonts w:ascii="Arial" w:hAnsi="Arial" w:cs="Arial"/>
                <w:b w:val="0"/>
                <w:bCs w:val="0"/>
                <w:sz w:val="20"/>
                <w:szCs w:val="20"/>
              </w:rPr>
              <w:t>Drenante</w:t>
            </w:r>
          </w:p>
        </w:tc>
        <w:tc>
          <w:tcPr>
            <w:tcW w:w="4936" w:type="dxa"/>
          </w:tcPr>
          <w:p w14:paraId="3643412A" w14:textId="77777777" w:rsidR="00892A5C" w:rsidRPr="007B1D4C" w:rsidRDefault="00892A5C" w:rsidP="008A2114">
            <w:pPr>
              <w:tabs>
                <w:tab w:val="left" w:pos="5461"/>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B1D4C">
              <w:rPr>
                <w:rFonts w:ascii="Arial" w:hAnsi="Arial" w:cs="Arial"/>
                <w:sz w:val="20"/>
                <w:szCs w:val="20"/>
              </w:rPr>
              <w:t>Fibra de coco</w:t>
            </w:r>
          </w:p>
        </w:tc>
        <w:tc>
          <w:tcPr>
            <w:tcW w:w="1816" w:type="dxa"/>
          </w:tcPr>
          <w:p w14:paraId="4D27C77E" w14:textId="77777777" w:rsidR="00892A5C" w:rsidRPr="007B1D4C" w:rsidRDefault="00892A5C" w:rsidP="008A2114">
            <w:pPr>
              <w:tabs>
                <w:tab w:val="left" w:pos="54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B1D4C">
              <w:rPr>
                <w:rFonts w:ascii="Arial" w:hAnsi="Arial" w:cs="Arial"/>
                <w:sz w:val="20"/>
                <w:szCs w:val="20"/>
              </w:rPr>
              <w:t>20 kg</w:t>
            </w:r>
          </w:p>
        </w:tc>
      </w:tr>
      <w:tr w:rsidR="00892A5C" w:rsidRPr="007B1D4C" w14:paraId="2075D37D" w14:textId="77777777" w:rsidTr="00105D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05" w:type="dxa"/>
          </w:tcPr>
          <w:p w14:paraId="15CD2FA2" w14:textId="77777777" w:rsidR="00892A5C" w:rsidRPr="007B1D4C" w:rsidRDefault="00892A5C" w:rsidP="008A2114">
            <w:pPr>
              <w:tabs>
                <w:tab w:val="left" w:pos="5461"/>
              </w:tabs>
              <w:spacing w:line="360" w:lineRule="auto"/>
              <w:jc w:val="both"/>
              <w:rPr>
                <w:rFonts w:ascii="Arial" w:hAnsi="Arial" w:cs="Arial"/>
                <w:b w:val="0"/>
                <w:bCs w:val="0"/>
                <w:sz w:val="20"/>
                <w:szCs w:val="20"/>
              </w:rPr>
            </w:pPr>
          </w:p>
        </w:tc>
        <w:tc>
          <w:tcPr>
            <w:tcW w:w="4936" w:type="dxa"/>
          </w:tcPr>
          <w:p w14:paraId="7BA91CAF" w14:textId="77777777" w:rsidR="00892A5C" w:rsidRPr="007B1D4C" w:rsidRDefault="00892A5C" w:rsidP="008A2114">
            <w:pPr>
              <w:tabs>
                <w:tab w:val="left" w:pos="5461"/>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1D4C">
              <w:rPr>
                <w:rFonts w:ascii="Arial" w:hAnsi="Arial" w:cs="Arial"/>
                <w:sz w:val="20"/>
                <w:szCs w:val="20"/>
              </w:rPr>
              <w:t>Paja</w:t>
            </w:r>
          </w:p>
        </w:tc>
        <w:tc>
          <w:tcPr>
            <w:tcW w:w="1816" w:type="dxa"/>
          </w:tcPr>
          <w:p w14:paraId="21BE66AE" w14:textId="77777777" w:rsidR="00892A5C" w:rsidRPr="007B1D4C" w:rsidRDefault="00892A5C" w:rsidP="008A2114">
            <w:pPr>
              <w:tabs>
                <w:tab w:val="left" w:pos="54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1D4C">
              <w:rPr>
                <w:rFonts w:ascii="Arial" w:hAnsi="Arial" w:cs="Arial"/>
                <w:sz w:val="20"/>
                <w:szCs w:val="20"/>
              </w:rPr>
              <w:t>20 kg</w:t>
            </w:r>
          </w:p>
        </w:tc>
      </w:tr>
      <w:tr w:rsidR="00892A5C" w:rsidRPr="007B1D4C" w14:paraId="0D0C4C7C" w14:textId="77777777" w:rsidTr="00105DFE">
        <w:trPr>
          <w:trHeight w:val="144"/>
        </w:trPr>
        <w:tc>
          <w:tcPr>
            <w:cnfStyle w:val="001000000000" w:firstRow="0" w:lastRow="0" w:firstColumn="1" w:lastColumn="0" w:oddVBand="0" w:evenVBand="0" w:oddHBand="0" w:evenHBand="0" w:firstRowFirstColumn="0" w:firstRowLastColumn="0" w:lastRowFirstColumn="0" w:lastRowLastColumn="0"/>
            <w:tcW w:w="2105" w:type="dxa"/>
          </w:tcPr>
          <w:p w14:paraId="633F37AD" w14:textId="77777777" w:rsidR="00892A5C" w:rsidRPr="007B1D4C" w:rsidRDefault="00892A5C" w:rsidP="008A2114">
            <w:pPr>
              <w:tabs>
                <w:tab w:val="left" w:pos="5461"/>
              </w:tabs>
              <w:spacing w:line="360" w:lineRule="auto"/>
              <w:jc w:val="both"/>
              <w:rPr>
                <w:rFonts w:ascii="Arial" w:hAnsi="Arial" w:cs="Arial"/>
                <w:b w:val="0"/>
                <w:bCs w:val="0"/>
                <w:sz w:val="20"/>
                <w:szCs w:val="20"/>
              </w:rPr>
            </w:pPr>
            <w:r w:rsidRPr="007B1D4C">
              <w:rPr>
                <w:rFonts w:ascii="Arial" w:hAnsi="Arial" w:cs="Arial"/>
                <w:b w:val="0"/>
                <w:bCs w:val="0"/>
                <w:sz w:val="20"/>
                <w:szCs w:val="20"/>
              </w:rPr>
              <w:t>Sustrato</w:t>
            </w:r>
          </w:p>
        </w:tc>
        <w:tc>
          <w:tcPr>
            <w:tcW w:w="4936" w:type="dxa"/>
          </w:tcPr>
          <w:p w14:paraId="0B47DCD0" w14:textId="77777777" w:rsidR="00892A5C" w:rsidRPr="007B1D4C" w:rsidRDefault="00892A5C" w:rsidP="008A2114">
            <w:pPr>
              <w:tabs>
                <w:tab w:val="left" w:pos="5461"/>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B1D4C">
              <w:rPr>
                <w:rFonts w:ascii="Arial" w:hAnsi="Arial" w:cs="Arial"/>
                <w:sz w:val="20"/>
                <w:szCs w:val="20"/>
              </w:rPr>
              <w:t>50% composta – 50% tepojal</w:t>
            </w:r>
          </w:p>
        </w:tc>
        <w:tc>
          <w:tcPr>
            <w:tcW w:w="1816" w:type="dxa"/>
          </w:tcPr>
          <w:p w14:paraId="5EEEDFCB" w14:textId="77777777" w:rsidR="00892A5C" w:rsidRPr="007B1D4C" w:rsidRDefault="00892A5C" w:rsidP="008A2114">
            <w:pPr>
              <w:tabs>
                <w:tab w:val="left" w:pos="54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B1D4C">
              <w:rPr>
                <w:rFonts w:ascii="Arial" w:hAnsi="Arial" w:cs="Arial"/>
                <w:sz w:val="20"/>
                <w:szCs w:val="20"/>
              </w:rPr>
              <w:t>620 kg</w:t>
            </w:r>
          </w:p>
        </w:tc>
      </w:tr>
      <w:tr w:rsidR="00892A5C" w:rsidRPr="007B1D4C" w14:paraId="7EFBAA58" w14:textId="77777777" w:rsidTr="00105D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05" w:type="dxa"/>
            <w:vMerge w:val="restart"/>
          </w:tcPr>
          <w:p w14:paraId="2BDEED71" w14:textId="77777777" w:rsidR="00892A5C" w:rsidRPr="007B1D4C" w:rsidRDefault="00892A5C" w:rsidP="008A2114">
            <w:pPr>
              <w:tabs>
                <w:tab w:val="left" w:pos="5461"/>
              </w:tabs>
              <w:spacing w:line="360" w:lineRule="auto"/>
              <w:jc w:val="both"/>
              <w:rPr>
                <w:rFonts w:ascii="Arial" w:hAnsi="Arial" w:cs="Arial"/>
                <w:b w:val="0"/>
                <w:bCs w:val="0"/>
                <w:sz w:val="20"/>
                <w:szCs w:val="20"/>
              </w:rPr>
            </w:pPr>
            <w:r w:rsidRPr="007B1D4C">
              <w:rPr>
                <w:rFonts w:ascii="Arial" w:hAnsi="Arial" w:cs="Arial"/>
                <w:b w:val="0"/>
                <w:bCs w:val="0"/>
                <w:sz w:val="20"/>
                <w:szCs w:val="20"/>
              </w:rPr>
              <w:t xml:space="preserve">Vegetación </w:t>
            </w:r>
          </w:p>
        </w:tc>
        <w:tc>
          <w:tcPr>
            <w:tcW w:w="4936" w:type="dxa"/>
          </w:tcPr>
          <w:p w14:paraId="2247CAF7" w14:textId="77777777" w:rsidR="00892A5C" w:rsidRPr="007B1D4C" w:rsidRDefault="00892A5C" w:rsidP="008A2114">
            <w:pPr>
              <w:tabs>
                <w:tab w:val="left" w:pos="5461"/>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1D4C">
              <w:rPr>
                <w:rFonts w:ascii="Arial" w:hAnsi="Arial" w:cs="Arial"/>
                <w:i/>
                <w:iCs/>
                <w:color w:val="000000"/>
                <w:sz w:val="20"/>
                <w:szCs w:val="20"/>
              </w:rPr>
              <w:t xml:space="preserve">Sedum </w:t>
            </w:r>
            <w:proofErr w:type="spellStart"/>
            <w:r w:rsidRPr="007B1D4C">
              <w:rPr>
                <w:rFonts w:ascii="Arial" w:hAnsi="Arial" w:cs="Arial"/>
                <w:i/>
                <w:iCs/>
                <w:color w:val="000000"/>
                <w:sz w:val="20"/>
                <w:szCs w:val="20"/>
              </w:rPr>
              <w:t>morganianum</w:t>
            </w:r>
            <w:proofErr w:type="spellEnd"/>
            <w:r w:rsidRPr="007B1D4C">
              <w:rPr>
                <w:rFonts w:ascii="Arial" w:hAnsi="Arial" w:cs="Arial"/>
                <w:i/>
                <w:iCs/>
                <w:color w:val="000000"/>
                <w:sz w:val="20"/>
                <w:szCs w:val="20"/>
              </w:rPr>
              <w:t xml:space="preserve"> </w:t>
            </w:r>
            <w:r w:rsidRPr="007B1D4C">
              <w:rPr>
                <w:rFonts w:ascii="Arial" w:hAnsi="Arial" w:cs="Arial"/>
                <w:color w:val="000000"/>
                <w:sz w:val="20"/>
                <w:szCs w:val="20"/>
              </w:rPr>
              <w:t>(Burrito)</w:t>
            </w:r>
          </w:p>
        </w:tc>
        <w:tc>
          <w:tcPr>
            <w:tcW w:w="1816" w:type="dxa"/>
          </w:tcPr>
          <w:p w14:paraId="37422113" w14:textId="2C83B9B1" w:rsidR="00892A5C" w:rsidRPr="007B1D4C" w:rsidRDefault="00892A5C" w:rsidP="008A2114">
            <w:pPr>
              <w:tabs>
                <w:tab w:val="left" w:pos="54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1D4C">
              <w:rPr>
                <w:rFonts w:ascii="Arial" w:hAnsi="Arial" w:cs="Arial"/>
                <w:sz w:val="20"/>
                <w:szCs w:val="20"/>
              </w:rPr>
              <w:t>2</w:t>
            </w:r>
            <w:r w:rsidR="00652859">
              <w:rPr>
                <w:rFonts w:ascii="Arial" w:hAnsi="Arial" w:cs="Arial"/>
                <w:sz w:val="20"/>
                <w:szCs w:val="20"/>
              </w:rPr>
              <w:t>3</w:t>
            </w:r>
            <w:r w:rsidRPr="007B1D4C">
              <w:rPr>
                <w:rFonts w:ascii="Arial" w:hAnsi="Arial" w:cs="Arial"/>
                <w:sz w:val="20"/>
                <w:szCs w:val="20"/>
              </w:rPr>
              <w:t> unidades</w:t>
            </w:r>
          </w:p>
        </w:tc>
      </w:tr>
      <w:tr w:rsidR="00892A5C" w:rsidRPr="007B1D4C" w14:paraId="35947C08" w14:textId="77777777" w:rsidTr="00105DFE">
        <w:trPr>
          <w:trHeight w:val="144"/>
        </w:trPr>
        <w:tc>
          <w:tcPr>
            <w:cnfStyle w:val="001000000000" w:firstRow="0" w:lastRow="0" w:firstColumn="1" w:lastColumn="0" w:oddVBand="0" w:evenVBand="0" w:oddHBand="0" w:evenHBand="0" w:firstRowFirstColumn="0" w:firstRowLastColumn="0" w:lastRowFirstColumn="0" w:lastRowLastColumn="0"/>
            <w:tcW w:w="2105" w:type="dxa"/>
            <w:vMerge/>
          </w:tcPr>
          <w:p w14:paraId="17C2E702" w14:textId="77777777" w:rsidR="00892A5C" w:rsidRPr="007B1D4C" w:rsidRDefault="00892A5C" w:rsidP="008A2114">
            <w:pPr>
              <w:tabs>
                <w:tab w:val="left" w:pos="5461"/>
              </w:tabs>
              <w:spacing w:line="360" w:lineRule="auto"/>
              <w:jc w:val="both"/>
              <w:rPr>
                <w:rFonts w:ascii="Arial" w:hAnsi="Arial" w:cs="Arial"/>
                <w:b w:val="0"/>
                <w:bCs w:val="0"/>
                <w:sz w:val="20"/>
                <w:szCs w:val="20"/>
              </w:rPr>
            </w:pPr>
          </w:p>
        </w:tc>
        <w:tc>
          <w:tcPr>
            <w:tcW w:w="4936" w:type="dxa"/>
          </w:tcPr>
          <w:p w14:paraId="2B250714" w14:textId="77777777" w:rsidR="00892A5C" w:rsidRPr="007B1D4C" w:rsidRDefault="00892A5C" w:rsidP="008A2114">
            <w:pPr>
              <w:tabs>
                <w:tab w:val="left" w:pos="5461"/>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B1D4C">
              <w:rPr>
                <w:rFonts w:ascii="Arial" w:hAnsi="Arial" w:cs="Arial"/>
                <w:i/>
                <w:iCs/>
                <w:color w:val="000000"/>
                <w:sz w:val="20"/>
                <w:szCs w:val="20"/>
              </w:rPr>
              <w:t xml:space="preserve">Sedum </w:t>
            </w:r>
            <w:proofErr w:type="spellStart"/>
            <w:r w:rsidRPr="007B1D4C">
              <w:rPr>
                <w:rFonts w:ascii="Arial" w:hAnsi="Arial" w:cs="Arial"/>
                <w:i/>
                <w:iCs/>
                <w:color w:val="000000"/>
                <w:sz w:val="20"/>
                <w:szCs w:val="20"/>
              </w:rPr>
              <w:t>Pachyphyllum</w:t>
            </w:r>
            <w:proofErr w:type="spellEnd"/>
            <w:r w:rsidRPr="007B1D4C">
              <w:rPr>
                <w:rFonts w:ascii="Arial" w:hAnsi="Arial" w:cs="Arial"/>
                <w:i/>
                <w:iCs/>
                <w:color w:val="000000"/>
                <w:sz w:val="20"/>
                <w:szCs w:val="20"/>
              </w:rPr>
              <w:t xml:space="preserve"> </w:t>
            </w:r>
            <w:r w:rsidRPr="007B1D4C">
              <w:rPr>
                <w:rFonts w:ascii="Arial" w:hAnsi="Arial" w:cs="Arial"/>
                <w:color w:val="000000"/>
                <w:sz w:val="20"/>
                <w:szCs w:val="20"/>
              </w:rPr>
              <w:t>(Dedos de Dios)</w:t>
            </w:r>
          </w:p>
        </w:tc>
        <w:tc>
          <w:tcPr>
            <w:tcW w:w="1816" w:type="dxa"/>
          </w:tcPr>
          <w:p w14:paraId="468D4B74" w14:textId="70D10615" w:rsidR="00892A5C" w:rsidRPr="007B1D4C" w:rsidRDefault="00892A5C" w:rsidP="008A2114">
            <w:pPr>
              <w:tabs>
                <w:tab w:val="left" w:pos="54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B1D4C">
              <w:rPr>
                <w:rFonts w:ascii="Arial" w:hAnsi="Arial" w:cs="Arial"/>
                <w:sz w:val="20"/>
                <w:szCs w:val="20"/>
              </w:rPr>
              <w:t>1</w:t>
            </w:r>
            <w:r w:rsidR="0057365E">
              <w:rPr>
                <w:rFonts w:ascii="Arial" w:hAnsi="Arial" w:cs="Arial"/>
                <w:sz w:val="20"/>
                <w:szCs w:val="20"/>
              </w:rPr>
              <w:t>8</w:t>
            </w:r>
            <w:r w:rsidRPr="007B1D4C">
              <w:rPr>
                <w:rFonts w:ascii="Arial" w:hAnsi="Arial" w:cs="Arial"/>
                <w:sz w:val="20"/>
                <w:szCs w:val="20"/>
              </w:rPr>
              <w:t xml:space="preserve"> unidades</w:t>
            </w:r>
          </w:p>
        </w:tc>
      </w:tr>
      <w:tr w:rsidR="00892A5C" w:rsidRPr="007B1D4C" w14:paraId="5DB379C8" w14:textId="77777777" w:rsidTr="00105D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05" w:type="dxa"/>
            <w:vMerge/>
          </w:tcPr>
          <w:p w14:paraId="1C66FF0C" w14:textId="77777777" w:rsidR="00892A5C" w:rsidRPr="007B1D4C" w:rsidRDefault="00892A5C" w:rsidP="008A2114">
            <w:pPr>
              <w:tabs>
                <w:tab w:val="left" w:pos="5461"/>
              </w:tabs>
              <w:spacing w:line="360" w:lineRule="auto"/>
              <w:jc w:val="both"/>
              <w:rPr>
                <w:rFonts w:ascii="Arial" w:hAnsi="Arial" w:cs="Arial"/>
                <w:b w:val="0"/>
                <w:bCs w:val="0"/>
                <w:sz w:val="20"/>
                <w:szCs w:val="20"/>
              </w:rPr>
            </w:pPr>
          </w:p>
        </w:tc>
        <w:tc>
          <w:tcPr>
            <w:tcW w:w="4936" w:type="dxa"/>
          </w:tcPr>
          <w:p w14:paraId="3653356B" w14:textId="77777777" w:rsidR="00892A5C" w:rsidRPr="007B1D4C" w:rsidRDefault="00892A5C" w:rsidP="008A2114">
            <w:pPr>
              <w:tabs>
                <w:tab w:val="left" w:pos="5461"/>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1D4C">
              <w:rPr>
                <w:rFonts w:ascii="Arial" w:hAnsi="Arial" w:cs="Arial"/>
                <w:i/>
                <w:iCs/>
                <w:color w:val="000000"/>
                <w:sz w:val="20"/>
                <w:szCs w:val="20"/>
              </w:rPr>
              <w:t xml:space="preserve">Sedum </w:t>
            </w:r>
            <w:proofErr w:type="spellStart"/>
            <w:r w:rsidRPr="007B1D4C">
              <w:rPr>
                <w:rFonts w:ascii="Arial" w:hAnsi="Arial" w:cs="Arial"/>
                <w:i/>
                <w:iCs/>
                <w:color w:val="000000"/>
                <w:sz w:val="20"/>
                <w:szCs w:val="20"/>
              </w:rPr>
              <w:t>Nussbamerianum</w:t>
            </w:r>
            <w:proofErr w:type="spellEnd"/>
            <w:r w:rsidRPr="007B1D4C">
              <w:rPr>
                <w:rFonts w:ascii="Arial" w:hAnsi="Arial" w:cs="Arial"/>
                <w:i/>
                <w:iCs/>
                <w:color w:val="000000"/>
                <w:sz w:val="20"/>
                <w:szCs w:val="20"/>
              </w:rPr>
              <w:t xml:space="preserve"> </w:t>
            </w:r>
            <w:r w:rsidRPr="007B1D4C">
              <w:rPr>
                <w:rFonts w:ascii="Arial" w:hAnsi="Arial" w:cs="Arial"/>
                <w:color w:val="000000"/>
                <w:sz w:val="20"/>
                <w:szCs w:val="20"/>
              </w:rPr>
              <w:t>(Sedo dorado)</w:t>
            </w:r>
          </w:p>
        </w:tc>
        <w:tc>
          <w:tcPr>
            <w:tcW w:w="1816" w:type="dxa"/>
          </w:tcPr>
          <w:p w14:paraId="31351D58" w14:textId="77777777" w:rsidR="00892A5C" w:rsidRPr="007B1D4C" w:rsidRDefault="00892A5C" w:rsidP="008A2114">
            <w:pPr>
              <w:tabs>
                <w:tab w:val="left" w:pos="54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1D4C">
              <w:rPr>
                <w:rFonts w:ascii="Arial" w:hAnsi="Arial" w:cs="Arial"/>
                <w:sz w:val="20"/>
                <w:szCs w:val="20"/>
              </w:rPr>
              <w:t>20 unidades</w:t>
            </w:r>
          </w:p>
        </w:tc>
      </w:tr>
      <w:tr w:rsidR="00892A5C" w:rsidRPr="007B1D4C" w14:paraId="63877573" w14:textId="77777777" w:rsidTr="00105DFE">
        <w:trPr>
          <w:trHeight w:val="144"/>
        </w:trPr>
        <w:tc>
          <w:tcPr>
            <w:cnfStyle w:val="001000000000" w:firstRow="0" w:lastRow="0" w:firstColumn="1" w:lastColumn="0" w:oddVBand="0" w:evenVBand="0" w:oddHBand="0" w:evenHBand="0" w:firstRowFirstColumn="0" w:firstRowLastColumn="0" w:lastRowFirstColumn="0" w:lastRowLastColumn="0"/>
            <w:tcW w:w="2105" w:type="dxa"/>
            <w:vMerge/>
          </w:tcPr>
          <w:p w14:paraId="4953CC11" w14:textId="77777777" w:rsidR="00892A5C" w:rsidRPr="007B1D4C" w:rsidRDefault="00892A5C" w:rsidP="008A2114">
            <w:pPr>
              <w:tabs>
                <w:tab w:val="left" w:pos="5461"/>
              </w:tabs>
              <w:spacing w:line="360" w:lineRule="auto"/>
              <w:jc w:val="both"/>
              <w:rPr>
                <w:rFonts w:ascii="Arial" w:hAnsi="Arial" w:cs="Arial"/>
                <w:b w:val="0"/>
                <w:bCs w:val="0"/>
                <w:sz w:val="20"/>
                <w:szCs w:val="20"/>
              </w:rPr>
            </w:pPr>
          </w:p>
        </w:tc>
        <w:tc>
          <w:tcPr>
            <w:tcW w:w="4936" w:type="dxa"/>
          </w:tcPr>
          <w:p w14:paraId="2EC87CEC" w14:textId="77777777" w:rsidR="00892A5C" w:rsidRPr="007B1D4C" w:rsidRDefault="00892A5C" w:rsidP="008A2114">
            <w:pPr>
              <w:tabs>
                <w:tab w:val="left" w:pos="5461"/>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B1D4C">
              <w:rPr>
                <w:rFonts w:ascii="Arial" w:hAnsi="Arial" w:cs="Arial"/>
                <w:i/>
                <w:iCs/>
                <w:color w:val="000000"/>
                <w:sz w:val="20"/>
                <w:szCs w:val="20"/>
              </w:rPr>
              <w:t xml:space="preserve">Sedum </w:t>
            </w:r>
            <w:proofErr w:type="spellStart"/>
            <w:r w:rsidRPr="007B1D4C">
              <w:rPr>
                <w:rFonts w:ascii="Arial" w:hAnsi="Arial" w:cs="Arial"/>
                <w:i/>
                <w:iCs/>
                <w:color w:val="000000"/>
                <w:sz w:val="20"/>
                <w:szCs w:val="20"/>
              </w:rPr>
              <w:t>Dendroideum</w:t>
            </w:r>
            <w:proofErr w:type="spellEnd"/>
            <w:r w:rsidRPr="007B1D4C">
              <w:rPr>
                <w:rFonts w:ascii="Arial" w:hAnsi="Arial" w:cs="Arial"/>
                <w:color w:val="000000"/>
                <w:sz w:val="20"/>
                <w:szCs w:val="20"/>
              </w:rPr>
              <w:t xml:space="preserve"> (Lagrima de María)</w:t>
            </w:r>
          </w:p>
        </w:tc>
        <w:tc>
          <w:tcPr>
            <w:tcW w:w="1816" w:type="dxa"/>
          </w:tcPr>
          <w:p w14:paraId="5C6D2DEB" w14:textId="61612326" w:rsidR="00892A5C" w:rsidRPr="007B1D4C" w:rsidRDefault="00892A5C" w:rsidP="008A2114">
            <w:pPr>
              <w:tabs>
                <w:tab w:val="left" w:pos="54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B1D4C">
              <w:rPr>
                <w:rFonts w:ascii="Arial" w:hAnsi="Arial" w:cs="Arial"/>
                <w:sz w:val="20"/>
                <w:szCs w:val="20"/>
              </w:rPr>
              <w:t>1</w:t>
            </w:r>
            <w:r w:rsidR="00FF4CB2">
              <w:rPr>
                <w:rFonts w:ascii="Arial" w:hAnsi="Arial" w:cs="Arial"/>
                <w:sz w:val="20"/>
                <w:szCs w:val="20"/>
              </w:rPr>
              <w:t>8</w:t>
            </w:r>
            <w:r w:rsidRPr="007B1D4C">
              <w:rPr>
                <w:rFonts w:ascii="Arial" w:hAnsi="Arial" w:cs="Arial"/>
                <w:sz w:val="20"/>
                <w:szCs w:val="20"/>
              </w:rPr>
              <w:t xml:space="preserve"> unidades</w:t>
            </w:r>
          </w:p>
        </w:tc>
      </w:tr>
      <w:tr w:rsidR="00892A5C" w:rsidRPr="007B1D4C" w14:paraId="319BF022" w14:textId="77777777" w:rsidTr="00105D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05" w:type="dxa"/>
            <w:vMerge/>
          </w:tcPr>
          <w:p w14:paraId="5EB197E3" w14:textId="77777777" w:rsidR="00892A5C" w:rsidRPr="007B1D4C" w:rsidRDefault="00892A5C" w:rsidP="008A2114">
            <w:pPr>
              <w:tabs>
                <w:tab w:val="left" w:pos="5461"/>
              </w:tabs>
              <w:spacing w:line="360" w:lineRule="auto"/>
              <w:jc w:val="both"/>
              <w:rPr>
                <w:rFonts w:ascii="Arial" w:hAnsi="Arial" w:cs="Arial"/>
                <w:b w:val="0"/>
                <w:bCs w:val="0"/>
                <w:sz w:val="20"/>
                <w:szCs w:val="20"/>
              </w:rPr>
            </w:pPr>
          </w:p>
        </w:tc>
        <w:tc>
          <w:tcPr>
            <w:tcW w:w="4936" w:type="dxa"/>
          </w:tcPr>
          <w:p w14:paraId="5E1CDADF" w14:textId="77777777" w:rsidR="00892A5C" w:rsidRPr="007B1D4C" w:rsidRDefault="00892A5C" w:rsidP="008A2114">
            <w:pPr>
              <w:tabs>
                <w:tab w:val="left" w:pos="5461"/>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1D4C">
              <w:rPr>
                <w:rFonts w:ascii="Arial" w:hAnsi="Arial" w:cs="Arial"/>
                <w:i/>
                <w:iCs/>
                <w:color w:val="000000"/>
                <w:sz w:val="20"/>
                <w:szCs w:val="20"/>
              </w:rPr>
              <w:t xml:space="preserve">Sedum </w:t>
            </w:r>
            <w:proofErr w:type="spellStart"/>
            <w:r w:rsidRPr="007B1D4C">
              <w:rPr>
                <w:rFonts w:ascii="Arial" w:hAnsi="Arial" w:cs="Arial"/>
                <w:i/>
                <w:iCs/>
                <w:color w:val="000000"/>
                <w:sz w:val="20"/>
                <w:szCs w:val="20"/>
              </w:rPr>
              <w:t>Rubrotinctum</w:t>
            </w:r>
            <w:proofErr w:type="spellEnd"/>
            <w:r w:rsidRPr="007B1D4C">
              <w:rPr>
                <w:rFonts w:ascii="Arial" w:hAnsi="Arial" w:cs="Arial"/>
                <w:i/>
                <w:iCs/>
                <w:color w:val="000000"/>
                <w:sz w:val="20"/>
                <w:szCs w:val="20"/>
              </w:rPr>
              <w:t xml:space="preserve"> </w:t>
            </w:r>
            <w:r w:rsidRPr="007B1D4C">
              <w:rPr>
                <w:rFonts w:ascii="Arial" w:hAnsi="Arial" w:cs="Arial"/>
                <w:color w:val="000000"/>
                <w:sz w:val="20"/>
                <w:szCs w:val="20"/>
              </w:rPr>
              <w:t>(Dedo de niño)</w:t>
            </w:r>
          </w:p>
        </w:tc>
        <w:tc>
          <w:tcPr>
            <w:tcW w:w="1816" w:type="dxa"/>
          </w:tcPr>
          <w:p w14:paraId="14057D13" w14:textId="77777777" w:rsidR="00892A5C" w:rsidRPr="007B1D4C" w:rsidRDefault="00892A5C" w:rsidP="008A2114">
            <w:pPr>
              <w:tabs>
                <w:tab w:val="left" w:pos="54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1D4C">
              <w:rPr>
                <w:rFonts w:ascii="Arial" w:hAnsi="Arial" w:cs="Arial"/>
                <w:sz w:val="20"/>
                <w:szCs w:val="20"/>
              </w:rPr>
              <w:t>20 unidades</w:t>
            </w:r>
          </w:p>
        </w:tc>
      </w:tr>
      <w:tr w:rsidR="00892A5C" w:rsidRPr="007B1D4C" w14:paraId="0506C610" w14:textId="77777777" w:rsidTr="00105DFE">
        <w:trPr>
          <w:trHeight w:val="144"/>
        </w:trPr>
        <w:tc>
          <w:tcPr>
            <w:cnfStyle w:val="001000000000" w:firstRow="0" w:lastRow="0" w:firstColumn="1" w:lastColumn="0" w:oddVBand="0" w:evenVBand="0" w:oddHBand="0" w:evenHBand="0" w:firstRowFirstColumn="0" w:firstRowLastColumn="0" w:lastRowFirstColumn="0" w:lastRowLastColumn="0"/>
            <w:tcW w:w="2105" w:type="dxa"/>
            <w:vMerge/>
          </w:tcPr>
          <w:p w14:paraId="465824F6" w14:textId="77777777" w:rsidR="00892A5C" w:rsidRPr="007B1D4C" w:rsidRDefault="00892A5C" w:rsidP="008A2114">
            <w:pPr>
              <w:tabs>
                <w:tab w:val="left" w:pos="5461"/>
              </w:tabs>
              <w:spacing w:line="360" w:lineRule="auto"/>
              <w:jc w:val="both"/>
              <w:rPr>
                <w:rFonts w:ascii="Arial" w:hAnsi="Arial" w:cs="Arial"/>
                <w:b w:val="0"/>
                <w:bCs w:val="0"/>
                <w:sz w:val="20"/>
                <w:szCs w:val="20"/>
              </w:rPr>
            </w:pPr>
          </w:p>
        </w:tc>
        <w:tc>
          <w:tcPr>
            <w:tcW w:w="4936" w:type="dxa"/>
          </w:tcPr>
          <w:p w14:paraId="3E8EDEB0" w14:textId="77777777" w:rsidR="00892A5C" w:rsidRPr="007B1D4C" w:rsidRDefault="00892A5C" w:rsidP="008A2114">
            <w:pPr>
              <w:tabs>
                <w:tab w:val="left" w:pos="5461"/>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7B1D4C">
              <w:rPr>
                <w:rFonts w:ascii="Arial" w:hAnsi="Arial" w:cs="Arial"/>
                <w:i/>
                <w:iCs/>
                <w:color w:val="000000"/>
                <w:sz w:val="20"/>
                <w:szCs w:val="20"/>
              </w:rPr>
              <w:t>Graptopetalum</w:t>
            </w:r>
            <w:proofErr w:type="spellEnd"/>
            <w:r w:rsidRPr="007B1D4C">
              <w:rPr>
                <w:rFonts w:ascii="Arial" w:hAnsi="Arial" w:cs="Arial"/>
                <w:i/>
                <w:iCs/>
                <w:color w:val="000000"/>
                <w:sz w:val="20"/>
                <w:szCs w:val="20"/>
              </w:rPr>
              <w:t xml:space="preserve"> </w:t>
            </w:r>
            <w:proofErr w:type="spellStart"/>
            <w:r w:rsidRPr="007B1D4C">
              <w:rPr>
                <w:rFonts w:ascii="Arial" w:hAnsi="Arial" w:cs="Arial"/>
                <w:i/>
                <w:iCs/>
                <w:color w:val="000000"/>
                <w:sz w:val="20"/>
                <w:szCs w:val="20"/>
              </w:rPr>
              <w:t>paraguayense</w:t>
            </w:r>
            <w:proofErr w:type="spellEnd"/>
            <w:r w:rsidRPr="007B1D4C">
              <w:rPr>
                <w:rFonts w:ascii="Arial" w:hAnsi="Arial" w:cs="Arial"/>
                <w:i/>
                <w:iCs/>
                <w:color w:val="000000"/>
                <w:sz w:val="20"/>
                <w:szCs w:val="20"/>
              </w:rPr>
              <w:t xml:space="preserve"> </w:t>
            </w:r>
            <w:r w:rsidRPr="007B1D4C">
              <w:rPr>
                <w:rFonts w:ascii="Arial" w:hAnsi="Arial" w:cs="Arial"/>
                <w:color w:val="000000"/>
                <w:sz w:val="20"/>
                <w:szCs w:val="20"/>
              </w:rPr>
              <w:t>(Planta madre perla o planta fantasma)</w:t>
            </w:r>
          </w:p>
        </w:tc>
        <w:tc>
          <w:tcPr>
            <w:tcW w:w="1816" w:type="dxa"/>
          </w:tcPr>
          <w:p w14:paraId="0A01E04E" w14:textId="77777777" w:rsidR="00892A5C" w:rsidRPr="007B1D4C" w:rsidRDefault="00892A5C" w:rsidP="008A2114">
            <w:pPr>
              <w:tabs>
                <w:tab w:val="left" w:pos="54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B1D4C">
              <w:rPr>
                <w:rFonts w:ascii="Arial" w:hAnsi="Arial" w:cs="Arial"/>
                <w:sz w:val="20"/>
                <w:szCs w:val="20"/>
              </w:rPr>
              <w:t>19 unidades</w:t>
            </w:r>
          </w:p>
        </w:tc>
      </w:tr>
      <w:tr w:rsidR="00892A5C" w:rsidRPr="007B1D4C" w14:paraId="1C7EF874" w14:textId="77777777" w:rsidTr="00105D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05" w:type="dxa"/>
            <w:vMerge/>
          </w:tcPr>
          <w:p w14:paraId="6FE9105A" w14:textId="77777777" w:rsidR="00892A5C" w:rsidRPr="007B1D4C" w:rsidRDefault="00892A5C" w:rsidP="008A2114">
            <w:pPr>
              <w:tabs>
                <w:tab w:val="left" w:pos="5461"/>
              </w:tabs>
              <w:spacing w:line="360" w:lineRule="auto"/>
              <w:jc w:val="both"/>
              <w:rPr>
                <w:rFonts w:ascii="Arial" w:hAnsi="Arial" w:cs="Arial"/>
                <w:b w:val="0"/>
                <w:bCs w:val="0"/>
                <w:sz w:val="20"/>
                <w:szCs w:val="20"/>
              </w:rPr>
            </w:pPr>
          </w:p>
        </w:tc>
        <w:tc>
          <w:tcPr>
            <w:tcW w:w="4936" w:type="dxa"/>
          </w:tcPr>
          <w:p w14:paraId="5B2543E8" w14:textId="77777777" w:rsidR="00892A5C" w:rsidRPr="007B1D4C" w:rsidRDefault="00892A5C" w:rsidP="008A2114">
            <w:pPr>
              <w:tabs>
                <w:tab w:val="left" w:pos="5461"/>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7B1D4C">
              <w:rPr>
                <w:rFonts w:ascii="Arial" w:hAnsi="Arial" w:cs="Arial"/>
                <w:i/>
                <w:iCs/>
                <w:color w:val="000000"/>
                <w:sz w:val="20"/>
                <w:szCs w:val="20"/>
              </w:rPr>
              <w:t>Echeveria</w:t>
            </w:r>
            <w:proofErr w:type="spellEnd"/>
            <w:r w:rsidRPr="007B1D4C">
              <w:rPr>
                <w:rFonts w:ascii="Arial" w:hAnsi="Arial" w:cs="Arial"/>
                <w:i/>
                <w:iCs/>
                <w:color w:val="000000"/>
                <w:sz w:val="20"/>
                <w:szCs w:val="20"/>
              </w:rPr>
              <w:t> </w:t>
            </w:r>
            <w:proofErr w:type="spellStart"/>
            <w:r w:rsidRPr="007B1D4C">
              <w:rPr>
                <w:rFonts w:ascii="Arial" w:hAnsi="Arial" w:cs="Arial"/>
                <w:i/>
                <w:iCs/>
                <w:color w:val="000000"/>
                <w:sz w:val="20"/>
                <w:szCs w:val="20"/>
              </w:rPr>
              <w:t>agavoides</w:t>
            </w:r>
            <w:proofErr w:type="spellEnd"/>
            <w:r w:rsidRPr="007B1D4C">
              <w:rPr>
                <w:rFonts w:ascii="Arial" w:hAnsi="Arial" w:cs="Arial"/>
                <w:i/>
                <w:iCs/>
                <w:color w:val="000000"/>
                <w:sz w:val="20"/>
                <w:szCs w:val="20"/>
              </w:rPr>
              <w:t xml:space="preserve"> </w:t>
            </w:r>
            <w:r w:rsidRPr="007B1D4C">
              <w:rPr>
                <w:rFonts w:ascii="Arial" w:hAnsi="Arial" w:cs="Arial"/>
                <w:color w:val="000000"/>
                <w:sz w:val="20"/>
                <w:szCs w:val="20"/>
              </w:rPr>
              <w:t>(</w:t>
            </w:r>
            <w:proofErr w:type="spellStart"/>
            <w:r w:rsidRPr="007B1D4C">
              <w:rPr>
                <w:rFonts w:ascii="Arial" w:hAnsi="Arial" w:cs="Arial"/>
                <w:color w:val="000000"/>
                <w:sz w:val="20"/>
                <w:szCs w:val="20"/>
              </w:rPr>
              <w:t>Echeveria</w:t>
            </w:r>
            <w:proofErr w:type="spellEnd"/>
            <w:r w:rsidRPr="007B1D4C">
              <w:rPr>
                <w:rFonts w:ascii="Arial" w:hAnsi="Arial" w:cs="Arial"/>
                <w:color w:val="000000"/>
                <w:sz w:val="20"/>
                <w:szCs w:val="20"/>
              </w:rPr>
              <w:t xml:space="preserve"> obscura)</w:t>
            </w:r>
          </w:p>
        </w:tc>
        <w:tc>
          <w:tcPr>
            <w:tcW w:w="1816" w:type="dxa"/>
          </w:tcPr>
          <w:p w14:paraId="3FAAF4D2" w14:textId="77777777" w:rsidR="00892A5C" w:rsidRPr="007B1D4C" w:rsidRDefault="00892A5C" w:rsidP="008A2114">
            <w:pPr>
              <w:tabs>
                <w:tab w:val="left" w:pos="54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1D4C">
              <w:rPr>
                <w:rFonts w:ascii="Arial" w:hAnsi="Arial" w:cs="Arial"/>
                <w:sz w:val="20"/>
                <w:szCs w:val="20"/>
              </w:rPr>
              <w:t>19 unidades</w:t>
            </w:r>
          </w:p>
        </w:tc>
      </w:tr>
      <w:tr w:rsidR="00892A5C" w:rsidRPr="007B1D4C" w14:paraId="4EB47DBA" w14:textId="77777777" w:rsidTr="00105DFE">
        <w:trPr>
          <w:trHeight w:val="144"/>
        </w:trPr>
        <w:tc>
          <w:tcPr>
            <w:cnfStyle w:val="001000000000" w:firstRow="0" w:lastRow="0" w:firstColumn="1" w:lastColumn="0" w:oddVBand="0" w:evenVBand="0" w:oddHBand="0" w:evenHBand="0" w:firstRowFirstColumn="0" w:firstRowLastColumn="0" w:lastRowFirstColumn="0" w:lastRowLastColumn="0"/>
            <w:tcW w:w="2105" w:type="dxa"/>
            <w:vMerge/>
          </w:tcPr>
          <w:p w14:paraId="4E0E3DA7" w14:textId="77777777" w:rsidR="00892A5C" w:rsidRPr="007B1D4C" w:rsidRDefault="00892A5C" w:rsidP="008A2114">
            <w:pPr>
              <w:tabs>
                <w:tab w:val="left" w:pos="5461"/>
              </w:tabs>
              <w:spacing w:line="360" w:lineRule="auto"/>
              <w:jc w:val="both"/>
              <w:rPr>
                <w:rFonts w:ascii="Arial" w:hAnsi="Arial" w:cs="Arial"/>
                <w:b w:val="0"/>
                <w:bCs w:val="0"/>
                <w:sz w:val="20"/>
                <w:szCs w:val="20"/>
              </w:rPr>
            </w:pPr>
          </w:p>
        </w:tc>
        <w:tc>
          <w:tcPr>
            <w:tcW w:w="4936" w:type="dxa"/>
          </w:tcPr>
          <w:tbl>
            <w:tblPr>
              <w:tblW w:w="10047" w:type="dxa"/>
              <w:tblInd w:w="20" w:type="dxa"/>
              <w:tblLayout w:type="fixed"/>
              <w:tblCellMar>
                <w:left w:w="70" w:type="dxa"/>
                <w:right w:w="70" w:type="dxa"/>
              </w:tblCellMar>
              <w:tblLook w:val="04A0" w:firstRow="1" w:lastRow="0" w:firstColumn="1" w:lastColumn="0" w:noHBand="0" w:noVBand="1"/>
            </w:tblPr>
            <w:tblGrid>
              <w:gridCol w:w="8638"/>
              <w:gridCol w:w="1409"/>
            </w:tblGrid>
            <w:tr w:rsidR="00892A5C" w:rsidRPr="00F4342F" w14:paraId="331C9B14" w14:textId="77777777" w:rsidTr="008A2114">
              <w:trPr>
                <w:trHeight w:val="300"/>
              </w:trPr>
              <w:tc>
                <w:tcPr>
                  <w:tcW w:w="8638" w:type="dxa"/>
                  <w:tcBorders>
                    <w:top w:val="nil"/>
                    <w:left w:val="nil"/>
                    <w:bottom w:val="nil"/>
                    <w:right w:val="nil"/>
                  </w:tcBorders>
                  <w:shd w:val="clear" w:color="auto" w:fill="auto"/>
                  <w:noWrap/>
                  <w:vAlign w:val="bottom"/>
                  <w:hideMark/>
                </w:tcPr>
                <w:p w14:paraId="135FFC66" w14:textId="77777777" w:rsidR="00892A5C" w:rsidRPr="00F4342F" w:rsidRDefault="00892A5C" w:rsidP="008A2114">
                  <w:pPr>
                    <w:rPr>
                      <w:rFonts w:ascii="Arial" w:eastAsia="Times New Roman" w:hAnsi="Arial" w:cs="Arial"/>
                      <w:i/>
                      <w:iCs/>
                      <w:color w:val="000000"/>
                      <w:sz w:val="20"/>
                      <w:szCs w:val="20"/>
                      <w:lang w:eastAsia="es-MX"/>
                    </w:rPr>
                  </w:pPr>
                  <w:proofErr w:type="spellStart"/>
                  <w:r w:rsidRPr="00F4342F">
                    <w:rPr>
                      <w:rFonts w:ascii="Arial" w:eastAsia="Times New Roman" w:hAnsi="Arial" w:cs="Arial"/>
                      <w:i/>
                      <w:iCs/>
                      <w:color w:val="000000"/>
                      <w:sz w:val="20"/>
                      <w:szCs w:val="20"/>
                      <w:lang w:eastAsia="es-MX"/>
                    </w:rPr>
                    <w:t>Echeveria</w:t>
                  </w:r>
                  <w:proofErr w:type="spellEnd"/>
                  <w:r w:rsidRPr="00F4342F">
                    <w:rPr>
                      <w:rFonts w:ascii="Arial" w:eastAsia="Times New Roman" w:hAnsi="Arial" w:cs="Arial"/>
                      <w:i/>
                      <w:iCs/>
                      <w:color w:val="000000"/>
                      <w:sz w:val="20"/>
                      <w:szCs w:val="20"/>
                      <w:lang w:eastAsia="es-MX"/>
                    </w:rPr>
                    <w:t> </w:t>
                  </w:r>
                  <w:proofErr w:type="spellStart"/>
                  <w:r w:rsidRPr="00F4342F">
                    <w:rPr>
                      <w:rFonts w:ascii="Arial" w:eastAsia="Times New Roman" w:hAnsi="Arial" w:cs="Arial"/>
                      <w:i/>
                      <w:iCs/>
                      <w:color w:val="000000"/>
                      <w:sz w:val="20"/>
                      <w:szCs w:val="20"/>
                      <w:lang w:eastAsia="es-MX"/>
                    </w:rPr>
                    <w:t>elegans</w:t>
                  </w:r>
                  <w:proofErr w:type="spellEnd"/>
                  <w:r w:rsidRPr="00F4342F">
                    <w:rPr>
                      <w:rFonts w:ascii="Arial" w:eastAsia="Times New Roman" w:hAnsi="Arial" w:cs="Arial"/>
                      <w:color w:val="000000"/>
                      <w:sz w:val="20"/>
                      <w:szCs w:val="20"/>
                      <w:lang w:eastAsia="es-MX"/>
                    </w:rPr>
                    <w:t xml:space="preserve"> (Rosa de alabastro)</w:t>
                  </w:r>
                </w:p>
              </w:tc>
              <w:tc>
                <w:tcPr>
                  <w:tcW w:w="1409" w:type="dxa"/>
                  <w:tcBorders>
                    <w:top w:val="nil"/>
                    <w:left w:val="nil"/>
                    <w:bottom w:val="nil"/>
                    <w:right w:val="nil"/>
                  </w:tcBorders>
                  <w:shd w:val="clear" w:color="auto" w:fill="auto"/>
                  <w:noWrap/>
                  <w:vAlign w:val="center"/>
                  <w:hideMark/>
                </w:tcPr>
                <w:p w14:paraId="64628887" w14:textId="77777777" w:rsidR="00892A5C" w:rsidRPr="00F4342F" w:rsidRDefault="00892A5C" w:rsidP="008A2114">
                  <w:pPr>
                    <w:jc w:val="center"/>
                    <w:rPr>
                      <w:rFonts w:ascii="Arial" w:eastAsia="Times New Roman" w:hAnsi="Arial" w:cs="Arial"/>
                      <w:sz w:val="20"/>
                      <w:szCs w:val="20"/>
                      <w:lang w:eastAsia="es-MX"/>
                    </w:rPr>
                  </w:pPr>
                </w:p>
              </w:tc>
            </w:tr>
          </w:tbl>
          <w:p w14:paraId="6B7627A7" w14:textId="77777777" w:rsidR="00892A5C" w:rsidRPr="007B1D4C" w:rsidRDefault="00892A5C" w:rsidP="008A2114">
            <w:pPr>
              <w:tabs>
                <w:tab w:val="left" w:pos="5461"/>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816" w:type="dxa"/>
          </w:tcPr>
          <w:p w14:paraId="2EDC2642" w14:textId="77777777" w:rsidR="00892A5C" w:rsidRPr="007B1D4C" w:rsidRDefault="00892A5C" w:rsidP="008A2114">
            <w:pPr>
              <w:tabs>
                <w:tab w:val="left" w:pos="54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4342F">
              <w:rPr>
                <w:rFonts w:ascii="Arial" w:eastAsia="Times New Roman" w:hAnsi="Arial" w:cs="Arial"/>
                <w:sz w:val="20"/>
                <w:szCs w:val="20"/>
                <w:lang w:eastAsia="es-MX"/>
              </w:rPr>
              <w:t>20</w:t>
            </w:r>
            <w:r w:rsidRPr="007B1D4C">
              <w:rPr>
                <w:rFonts w:ascii="Arial" w:eastAsia="Times New Roman" w:hAnsi="Arial" w:cs="Arial"/>
                <w:sz w:val="20"/>
                <w:szCs w:val="20"/>
                <w:lang w:eastAsia="es-MX"/>
              </w:rPr>
              <w:t xml:space="preserve"> </w:t>
            </w:r>
            <w:r w:rsidRPr="007B1D4C">
              <w:rPr>
                <w:rFonts w:ascii="Arial" w:hAnsi="Arial" w:cs="Arial"/>
                <w:sz w:val="20"/>
                <w:szCs w:val="20"/>
              </w:rPr>
              <w:t>unidades</w:t>
            </w:r>
          </w:p>
        </w:tc>
      </w:tr>
    </w:tbl>
    <w:p w14:paraId="7D483AE8" w14:textId="77777777" w:rsidR="00892A5C" w:rsidRDefault="00892A5C" w:rsidP="00892A5C">
      <w:pPr>
        <w:pStyle w:val="Prrafodelista"/>
        <w:jc w:val="both"/>
        <w:rPr>
          <w:rFonts w:ascii="Arial" w:hAnsi="Arial" w:cs="Arial"/>
          <w:sz w:val="24"/>
          <w:szCs w:val="24"/>
          <w:lang w:val="es-MX"/>
        </w:rPr>
      </w:pPr>
    </w:p>
    <w:p w14:paraId="224B6A9E" w14:textId="77777777" w:rsidR="00D232BD" w:rsidRDefault="00D232BD">
      <w:pPr>
        <w:rPr>
          <w:rFonts w:ascii="Arial" w:hAnsi="Arial" w:cs="Arial"/>
          <w:noProof/>
          <w:kern w:val="0"/>
          <w:sz w:val="24"/>
          <w:szCs w:val="24"/>
        </w:rPr>
      </w:pPr>
      <w:r>
        <w:rPr>
          <w:rFonts w:ascii="Arial" w:hAnsi="Arial" w:cs="Arial"/>
          <w:noProof/>
          <w:sz w:val="24"/>
          <w:szCs w:val="24"/>
        </w:rPr>
        <w:br w:type="page"/>
      </w:r>
    </w:p>
    <w:p w14:paraId="62FFA093" w14:textId="77777777" w:rsidR="00D232BD" w:rsidRDefault="00D232BD" w:rsidP="00892A5C">
      <w:pPr>
        <w:pStyle w:val="Prrafodelista"/>
        <w:jc w:val="both"/>
        <w:rPr>
          <w:rFonts w:ascii="Arial" w:hAnsi="Arial" w:cs="Arial"/>
          <w:sz w:val="24"/>
          <w:szCs w:val="24"/>
          <w:lang w:val="es-MX"/>
        </w:rPr>
        <w:sectPr w:rsidR="00D232BD">
          <w:pgSz w:w="12240" w:h="15840"/>
          <w:pgMar w:top="1417" w:right="1701" w:bottom="1417" w:left="1701" w:header="708" w:footer="708" w:gutter="0"/>
          <w:cols w:space="708"/>
          <w:docGrid w:linePitch="360"/>
        </w:sectPr>
      </w:pPr>
    </w:p>
    <w:p w14:paraId="1E4EE9E5" w14:textId="77777777" w:rsidR="004A0A54" w:rsidRDefault="001D0383" w:rsidP="004A0A54">
      <w:pPr>
        <w:pStyle w:val="Prrafodelista"/>
        <w:keepNext/>
        <w:jc w:val="both"/>
      </w:pPr>
      <w:r>
        <w:rPr>
          <w:rFonts w:ascii="Arial" w:hAnsi="Arial" w:cs="Arial"/>
          <w:noProof/>
          <w:sz w:val="24"/>
          <w:szCs w:val="24"/>
          <w:lang w:val="es-MX"/>
          <w14:ligatures w14:val="standardContextual"/>
        </w:rPr>
        <w:lastRenderedPageBreak/>
        <w:drawing>
          <wp:inline distT="0" distB="0" distL="0" distR="0" wp14:anchorId="69CBAA66" wp14:editId="6462CAA9">
            <wp:extent cx="8257540" cy="5130140"/>
            <wp:effectExtent l="0" t="0" r="0" b="0"/>
            <wp:docPr id="125854465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44651" name="Imagen 1258544651"/>
                    <pic:cNvPicPr/>
                  </pic:nvPicPr>
                  <pic:blipFill>
                    <a:blip r:embed="rId6">
                      <a:extLst>
                        <a:ext uri="{28A0092B-C50C-407E-A947-70E740481C1C}">
                          <a14:useLocalDpi xmlns:a14="http://schemas.microsoft.com/office/drawing/2010/main" val="0"/>
                        </a:ext>
                      </a:extLst>
                    </a:blip>
                    <a:stretch>
                      <a:fillRect/>
                    </a:stretch>
                  </pic:blipFill>
                  <pic:spPr>
                    <a:xfrm>
                      <a:off x="0" y="0"/>
                      <a:ext cx="8260782" cy="5132154"/>
                    </a:xfrm>
                    <a:prstGeom prst="rect">
                      <a:avLst/>
                    </a:prstGeom>
                  </pic:spPr>
                </pic:pic>
              </a:graphicData>
            </a:graphic>
          </wp:inline>
        </w:drawing>
      </w:r>
    </w:p>
    <w:p w14:paraId="03C01EEB" w14:textId="4E5293D2" w:rsidR="00D232BD" w:rsidRPr="004D3344" w:rsidRDefault="004A0A54" w:rsidP="004D3344">
      <w:pPr>
        <w:pStyle w:val="Descripcin"/>
        <w:jc w:val="center"/>
        <w:rPr>
          <w:rFonts w:ascii="Arial" w:hAnsi="Arial" w:cs="Arial"/>
          <w:i w:val="0"/>
          <w:iCs w:val="0"/>
          <w:color w:val="auto"/>
          <w:sz w:val="20"/>
          <w:szCs w:val="20"/>
          <w:lang w:val="es-MX"/>
        </w:rPr>
        <w:sectPr w:rsidR="00D232BD" w:rsidRPr="004D3344" w:rsidSect="00D232BD">
          <w:pgSz w:w="15840" w:h="12240" w:orient="landscape"/>
          <w:pgMar w:top="1701" w:right="1418" w:bottom="1701" w:left="1418" w:header="709" w:footer="709" w:gutter="0"/>
          <w:cols w:space="708"/>
          <w:docGrid w:linePitch="360"/>
        </w:sectPr>
      </w:pPr>
      <w:r w:rsidRPr="004D3344">
        <w:rPr>
          <w:rFonts w:ascii="Arial" w:hAnsi="Arial" w:cs="Arial"/>
          <w:b/>
          <w:bCs/>
          <w:i w:val="0"/>
          <w:iCs w:val="0"/>
          <w:color w:val="auto"/>
          <w:sz w:val="20"/>
          <w:szCs w:val="20"/>
        </w:rPr>
        <w:t xml:space="preserve">Figura </w:t>
      </w:r>
      <w:r w:rsidRPr="004D3344">
        <w:rPr>
          <w:rFonts w:ascii="Arial" w:hAnsi="Arial" w:cs="Arial"/>
          <w:b/>
          <w:bCs/>
          <w:i w:val="0"/>
          <w:iCs w:val="0"/>
          <w:color w:val="auto"/>
          <w:sz w:val="20"/>
          <w:szCs w:val="20"/>
        </w:rPr>
        <w:fldChar w:fldCharType="begin"/>
      </w:r>
      <w:r w:rsidRPr="004D3344">
        <w:rPr>
          <w:rFonts w:ascii="Arial" w:hAnsi="Arial" w:cs="Arial"/>
          <w:b/>
          <w:bCs/>
          <w:i w:val="0"/>
          <w:iCs w:val="0"/>
          <w:color w:val="auto"/>
          <w:sz w:val="20"/>
          <w:szCs w:val="20"/>
        </w:rPr>
        <w:instrText xml:space="preserve"> SEQ Figura \* ARABIC </w:instrText>
      </w:r>
      <w:r w:rsidRPr="004D3344">
        <w:rPr>
          <w:rFonts w:ascii="Arial" w:hAnsi="Arial" w:cs="Arial"/>
          <w:b/>
          <w:bCs/>
          <w:i w:val="0"/>
          <w:iCs w:val="0"/>
          <w:color w:val="auto"/>
          <w:sz w:val="20"/>
          <w:szCs w:val="20"/>
        </w:rPr>
        <w:fldChar w:fldCharType="separate"/>
      </w:r>
      <w:r w:rsidR="00936848">
        <w:rPr>
          <w:rFonts w:ascii="Arial" w:hAnsi="Arial" w:cs="Arial"/>
          <w:b/>
          <w:bCs/>
          <w:i w:val="0"/>
          <w:iCs w:val="0"/>
          <w:noProof/>
          <w:color w:val="auto"/>
          <w:sz w:val="20"/>
          <w:szCs w:val="20"/>
        </w:rPr>
        <w:t>1</w:t>
      </w:r>
      <w:r w:rsidRPr="004D3344">
        <w:rPr>
          <w:rFonts w:ascii="Arial" w:hAnsi="Arial" w:cs="Arial"/>
          <w:b/>
          <w:bCs/>
          <w:i w:val="0"/>
          <w:iCs w:val="0"/>
          <w:color w:val="auto"/>
          <w:sz w:val="20"/>
          <w:szCs w:val="20"/>
        </w:rPr>
        <w:fldChar w:fldCharType="end"/>
      </w:r>
      <w:r w:rsidRPr="004D3344">
        <w:rPr>
          <w:rFonts w:ascii="Arial" w:hAnsi="Arial" w:cs="Arial"/>
          <w:b/>
          <w:bCs/>
          <w:i w:val="0"/>
          <w:iCs w:val="0"/>
          <w:color w:val="auto"/>
          <w:sz w:val="20"/>
          <w:szCs w:val="20"/>
        </w:rPr>
        <w:t>.</w:t>
      </w:r>
      <w:r w:rsidRPr="004D3344">
        <w:rPr>
          <w:rFonts w:ascii="Arial" w:hAnsi="Arial" w:cs="Arial"/>
          <w:i w:val="0"/>
          <w:iCs w:val="0"/>
          <w:color w:val="auto"/>
          <w:sz w:val="20"/>
          <w:szCs w:val="20"/>
        </w:rPr>
        <w:t xml:space="preserve"> Instalación del Techo verde ligero extensivo (TVLE)</w:t>
      </w:r>
    </w:p>
    <w:p w14:paraId="2F7C300E" w14:textId="5AA5B631" w:rsidR="00D232BD" w:rsidRDefault="00D232BD" w:rsidP="00892A5C">
      <w:pPr>
        <w:pStyle w:val="Prrafodelista"/>
        <w:jc w:val="both"/>
        <w:rPr>
          <w:rFonts w:ascii="Arial" w:hAnsi="Arial" w:cs="Arial"/>
          <w:sz w:val="24"/>
          <w:szCs w:val="24"/>
          <w:lang w:val="es-MX"/>
        </w:rPr>
      </w:pPr>
    </w:p>
    <w:p w14:paraId="5708DD87" w14:textId="185188DE" w:rsidR="00892A5C" w:rsidRPr="006766FC" w:rsidRDefault="006766FC" w:rsidP="006766FC">
      <w:pPr>
        <w:jc w:val="both"/>
        <w:rPr>
          <w:rFonts w:ascii="Arial" w:hAnsi="Arial" w:cs="Arial"/>
          <w:i/>
          <w:iCs/>
          <w:sz w:val="24"/>
          <w:szCs w:val="24"/>
        </w:rPr>
      </w:pPr>
      <w:r w:rsidRPr="00807274">
        <w:rPr>
          <w:rFonts w:ascii="Arial" w:hAnsi="Arial" w:cs="Arial"/>
          <w:i/>
          <w:iCs/>
          <w:sz w:val="24"/>
          <w:szCs w:val="24"/>
        </w:rPr>
        <w:t xml:space="preserve">Objetivo Específico </w:t>
      </w:r>
      <w:r>
        <w:rPr>
          <w:rFonts w:ascii="Arial" w:hAnsi="Arial" w:cs="Arial"/>
          <w:i/>
          <w:iCs/>
          <w:sz w:val="24"/>
          <w:szCs w:val="24"/>
        </w:rPr>
        <w:t>3</w:t>
      </w:r>
      <w:r w:rsidRPr="00807274">
        <w:rPr>
          <w:rFonts w:ascii="Arial" w:hAnsi="Arial" w:cs="Arial"/>
          <w:i/>
          <w:iCs/>
          <w:sz w:val="24"/>
          <w:szCs w:val="24"/>
        </w:rPr>
        <w:t xml:space="preserve">. </w:t>
      </w:r>
    </w:p>
    <w:p w14:paraId="6BCC0FE3" w14:textId="68FC8457" w:rsidR="00892A5C" w:rsidRPr="006766FC" w:rsidRDefault="002B2391" w:rsidP="006766FC">
      <w:pPr>
        <w:spacing w:line="360" w:lineRule="auto"/>
        <w:jc w:val="both"/>
        <w:rPr>
          <w:rFonts w:ascii="Arial" w:hAnsi="Arial" w:cs="Arial"/>
          <w:sz w:val="24"/>
          <w:szCs w:val="24"/>
        </w:rPr>
      </w:pPr>
      <w:r w:rsidRPr="006766FC">
        <w:rPr>
          <w:rFonts w:ascii="Arial" w:hAnsi="Arial" w:cs="Arial"/>
          <w:sz w:val="24"/>
          <w:szCs w:val="24"/>
        </w:rPr>
        <w:t>Para determinar la huella de carbono, se establece el método de Análisis de Ciclo de Vida (ACV)</w:t>
      </w:r>
      <w:r w:rsidR="00866C4B" w:rsidRPr="006766FC">
        <w:rPr>
          <w:rFonts w:ascii="Arial" w:hAnsi="Arial" w:cs="Arial"/>
          <w:sz w:val="24"/>
          <w:szCs w:val="24"/>
        </w:rPr>
        <w:t xml:space="preserve"> de</w:t>
      </w:r>
      <w:r w:rsidR="00892A5C" w:rsidRPr="006766FC">
        <w:rPr>
          <w:rFonts w:ascii="Arial" w:hAnsi="Arial" w:cs="Arial"/>
          <w:sz w:val="24"/>
          <w:szCs w:val="24"/>
        </w:rPr>
        <w:t xml:space="preserve"> la cuna a la Puerta</w:t>
      </w:r>
      <w:r w:rsidRPr="006766FC">
        <w:rPr>
          <w:rFonts w:ascii="Arial" w:hAnsi="Arial" w:cs="Arial"/>
          <w:sz w:val="24"/>
          <w:szCs w:val="24"/>
        </w:rPr>
        <w:t>. Las etapas</w:t>
      </w:r>
      <w:r w:rsidR="00892A5C" w:rsidRPr="006766FC">
        <w:rPr>
          <w:rFonts w:ascii="Arial" w:hAnsi="Arial" w:cs="Arial"/>
          <w:sz w:val="24"/>
          <w:szCs w:val="24"/>
        </w:rPr>
        <w:t xml:space="preserve"> son </w:t>
      </w:r>
      <w:r w:rsidR="00631928" w:rsidRPr="006766FC">
        <w:rPr>
          <w:rFonts w:ascii="Arial" w:hAnsi="Arial" w:cs="Arial"/>
          <w:sz w:val="24"/>
          <w:szCs w:val="24"/>
        </w:rPr>
        <w:t xml:space="preserve">la extracción de materiales, la producción de las capas y la instalación del techo verde. Se emplea software </w:t>
      </w:r>
      <w:proofErr w:type="spellStart"/>
      <w:r w:rsidR="00631928" w:rsidRPr="006766FC">
        <w:rPr>
          <w:rFonts w:ascii="Arial" w:hAnsi="Arial" w:cs="Arial"/>
          <w:sz w:val="24"/>
          <w:szCs w:val="24"/>
        </w:rPr>
        <w:t>SimaPro</w:t>
      </w:r>
      <w:proofErr w:type="spellEnd"/>
      <w:r w:rsidR="00631928" w:rsidRPr="006766FC">
        <w:rPr>
          <w:rFonts w:ascii="Arial" w:hAnsi="Arial" w:cs="Arial"/>
          <w:sz w:val="24"/>
          <w:szCs w:val="24"/>
        </w:rPr>
        <w:t xml:space="preserve">, con el método </w:t>
      </w:r>
      <w:proofErr w:type="spellStart"/>
      <w:r w:rsidR="00631928" w:rsidRPr="006766FC">
        <w:rPr>
          <w:rFonts w:ascii="Arial" w:hAnsi="Arial" w:cs="Arial"/>
          <w:sz w:val="24"/>
          <w:szCs w:val="24"/>
        </w:rPr>
        <w:t>ReCiPe</w:t>
      </w:r>
      <w:proofErr w:type="spellEnd"/>
      <w:r w:rsidR="00631928" w:rsidRPr="006766FC">
        <w:rPr>
          <w:rFonts w:ascii="Arial" w:hAnsi="Arial" w:cs="Arial"/>
          <w:sz w:val="24"/>
          <w:szCs w:val="24"/>
        </w:rPr>
        <w:t xml:space="preserve"> 2016 </w:t>
      </w:r>
      <w:proofErr w:type="spellStart"/>
      <w:r w:rsidR="00631928" w:rsidRPr="006766FC">
        <w:rPr>
          <w:rFonts w:ascii="Arial" w:hAnsi="Arial" w:cs="Arial"/>
          <w:sz w:val="24"/>
          <w:szCs w:val="24"/>
        </w:rPr>
        <w:t>Midpoint</w:t>
      </w:r>
      <w:proofErr w:type="spellEnd"/>
      <w:r w:rsidR="00631928" w:rsidRPr="006766FC">
        <w:rPr>
          <w:rFonts w:ascii="Arial" w:hAnsi="Arial" w:cs="Arial"/>
          <w:sz w:val="24"/>
          <w:szCs w:val="24"/>
        </w:rPr>
        <w:t xml:space="preserve">, y la base de datos </w:t>
      </w:r>
      <w:proofErr w:type="spellStart"/>
      <w:r w:rsidR="00631928" w:rsidRPr="006766FC">
        <w:rPr>
          <w:rFonts w:ascii="Arial" w:hAnsi="Arial" w:cs="Arial"/>
          <w:sz w:val="24"/>
          <w:szCs w:val="24"/>
        </w:rPr>
        <w:t>EcoInven</w:t>
      </w:r>
      <w:r w:rsidR="00866C4B" w:rsidRPr="006766FC">
        <w:rPr>
          <w:rFonts w:ascii="Arial" w:hAnsi="Arial" w:cs="Arial"/>
          <w:sz w:val="24"/>
          <w:szCs w:val="24"/>
        </w:rPr>
        <w:t>t</w:t>
      </w:r>
      <w:proofErr w:type="spellEnd"/>
      <w:r w:rsidR="00866C4B" w:rsidRPr="006766FC">
        <w:rPr>
          <w:rFonts w:ascii="Arial" w:hAnsi="Arial" w:cs="Arial"/>
          <w:sz w:val="24"/>
          <w:szCs w:val="24"/>
        </w:rPr>
        <w:t>. S</w:t>
      </w:r>
      <w:r w:rsidR="00631928" w:rsidRPr="006766FC">
        <w:rPr>
          <w:rFonts w:ascii="Arial" w:hAnsi="Arial" w:cs="Arial"/>
          <w:sz w:val="24"/>
          <w:szCs w:val="24"/>
        </w:rPr>
        <w:t xml:space="preserve">e establece </w:t>
      </w:r>
      <w:r w:rsidRPr="006766FC">
        <w:rPr>
          <w:rFonts w:ascii="Arial" w:hAnsi="Arial" w:cs="Arial"/>
          <w:sz w:val="24"/>
          <w:szCs w:val="24"/>
        </w:rPr>
        <w:t xml:space="preserve">flujo del ciclo de vida del TVLE, del cual se </w:t>
      </w:r>
      <w:proofErr w:type="spellStart"/>
      <w:r w:rsidRPr="006766FC">
        <w:rPr>
          <w:rFonts w:ascii="Arial" w:hAnsi="Arial" w:cs="Arial"/>
          <w:sz w:val="24"/>
          <w:szCs w:val="24"/>
        </w:rPr>
        <w:t>generá</w:t>
      </w:r>
      <w:proofErr w:type="spellEnd"/>
      <w:r w:rsidRPr="006766FC">
        <w:rPr>
          <w:rFonts w:ascii="Arial" w:hAnsi="Arial" w:cs="Arial"/>
          <w:sz w:val="24"/>
          <w:szCs w:val="24"/>
        </w:rPr>
        <w:t xml:space="preserve"> </w:t>
      </w:r>
      <w:r w:rsidR="00631928" w:rsidRPr="006766FC">
        <w:rPr>
          <w:rFonts w:ascii="Arial" w:hAnsi="Arial" w:cs="Arial"/>
          <w:sz w:val="24"/>
          <w:szCs w:val="24"/>
        </w:rPr>
        <w:t xml:space="preserve">el análisis de inventario (Figura </w:t>
      </w:r>
      <w:r w:rsidR="001A56EE">
        <w:rPr>
          <w:rFonts w:ascii="Arial" w:hAnsi="Arial" w:cs="Arial"/>
          <w:sz w:val="24"/>
          <w:szCs w:val="24"/>
        </w:rPr>
        <w:t>2</w:t>
      </w:r>
      <w:r w:rsidR="00631928" w:rsidRPr="006766FC">
        <w:rPr>
          <w:rFonts w:ascii="Arial" w:hAnsi="Arial" w:cs="Arial"/>
          <w:sz w:val="24"/>
          <w:szCs w:val="24"/>
        </w:rPr>
        <w:t>)</w:t>
      </w:r>
      <w:bookmarkStart w:id="0" w:name="_Hlk70124089"/>
      <w:r w:rsidR="009F190D" w:rsidRPr="006766FC">
        <w:rPr>
          <w:rFonts w:ascii="Arial" w:hAnsi="Arial" w:cs="Arial"/>
          <w:sz w:val="24"/>
          <w:szCs w:val="24"/>
        </w:rPr>
        <w:t xml:space="preserve">. </w:t>
      </w:r>
      <w:r w:rsidR="00892A5C" w:rsidRPr="006766FC">
        <w:rPr>
          <w:rFonts w:ascii="Arial" w:hAnsi="Arial" w:cs="Arial"/>
          <w:sz w:val="24"/>
          <w:szCs w:val="24"/>
        </w:rPr>
        <w:t>La unidad funcional se define como 1m</w:t>
      </w:r>
      <w:r w:rsidR="00892A5C" w:rsidRPr="006766FC">
        <w:rPr>
          <w:rFonts w:ascii="Arial" w:hAnsi="Arial" w:cs="Arial"/>
          <w:sz w:val="24"/>
          <w:szCs w:val="24"/>
          <w:vertAlign w:val="superscript"/>
        </w:rPr>
        <w:t>2</w:t>
      </w:r>
      <w:r w:rsidR="00892A5C" w:rsidRPr="006766FC">
        <w:rPr>
          <w:rFonts w:ascii="Arial" w:hAnsi="Arial" w:cs="Arial"/>
          <w:sz w:val="24"/>
          <w:szCs w:val="24"/>
        </w:rPr>
        <w:t>, con un tiempo de vida de 40 años</w:t>
      </w:r>
      <w:bookmarkEnd w:id="0"/>
      <w:r w:rsidR="00892A5C" w:rsidRPr="006766FC">
        <w:rPr>
          <w:rFonts w:ascii="Arial" w:hAnsi="Arial" w:cs="Arial"/>
          <w:sz w:val="24"/>
          <w:szCs w:val="24"/>
        </w:rPr>
        <w:t xml:space="preserve">, los límites del análisis son: </w:t>
      </w:r>
    </w:p>
    <w:p w14:paraId="0E8A6683" w14:textId="77777777" w:rsidR="00892A5C" w:rsidRPr="00397ACB" w:rsidRDefault="00892A5C" w:rsidP="00892A5C">
      <w:pPr>
        <w:pStyle w:val="Prrafodelista"/>
        <w:numPr>
          <w:ilvl w:val="0"/>
          <w:numId w:val="3"/>
        </w:numPr>
        <w:spacing w:line="360" w:lineRule="auto"/>
        <w:jc w:val="both"/>
        <w:rPr>
          <w:rFonts w:ascii="Arial" w:hAnsi="Arial" w:cs="Arial"/>
          <w:sz w:val="24"/>
          <w:szCs w:val="24"/>
        </w:rPr>
      </w:pPr>
      <w:r w:rsidRPr="00397ACB">
        <w:rPr>
          <w:rFonts w:ascii="Arial" w:hAnsi="Arial" w:cs="Arial"/>
          <w:sz w:val="24"/>
          <w:szCs w:val="24"/>
        </w:rPr>
        <w:t xml:space="preserve">La </w:t>
      </w:r>
      <w:proofErr w:type="spellStart"/>
      <w:r w:rsidRPr="00397ACB">
        <w:rPr>
          <w:rFonts w:ascii="Arial" w:hAnsi="Arial" w:cs="Arial"/>
          <w:sz w:val="24"/>
          <w:szCs w:val="24"/>
        </w:rPr>
        <w:t>capa</w:t>
      </w:r>
      <w:proofErr w:type="spellEnd"/>
      <w:r w:rsidRPr="00397ACB">
        <w:rPr>
          <w:rFonts w:ascii="Arial" w:hAnsi="Arial" w:cs="Arial"/>
          <w:sz w:val="24"/>
          <w:szCs w:val="24"/>
        </w:rPr>
        <w:t xml:space="preserve"> de </w:t>
      </w:r>
      <w:proofErr w:type="spellStart"/>
      <w:r w:rsidRPr="00397ACB">
        <w:rPr>
          <w:rFonts w:ascii="Arial" w:hAnsi="Arial" w:cs="Arial"/>
          <w:sz w:val="24"/>
          <w:szCs w:val="24"/>
        </w:rPr>
        <w:t>vegetación</w:t>
      </w:r>
      <w:proofErr w:type="spellEnd"/>
      <w:r w:rsidRPr="00397ACB">
        <w:rPr>
          <w:rFonts w:ascii="Arial" w:hAnsi="Arial" w:cs="Arial"/>
          <w:sz w:val="24"/>
          <w:szCs w:val="24"/>
        </w:rPr>
        <w:t xml:space="preserve"> </w:t>
      </w:r>
      <w:r>
        <w:rPr>
          <w:rFonts w:ascii="Arial" w:hAnsi="Arial" w:cs="Arial"/>
          <w:sz w:val="24"/>
          <w:szCs w:val="24"/>
        </w:rPr>
        <w:t xml:space="preserve">no genera un </w:t>
      </w:r>
      <w:proofErr w:type="spellStart"/>
      <w:r>
        <w:rPr>
          <w:rFonts w:ascii="Arial" w:hAnsi="Arial" w:cs="Arial"/>
          <w:sz w:val="24"/>
          <w:szCs w:val="24"/>
        </w:rPr>
        <w:t>impacto</w:t>
      </w:r>
      <w:proofErr w:type="spellEnd"/>
      <w:r>
        <w:rPr>
          <w:rFonts w:ascii="Arial" w:hAnsi="Arial" w:cs="Arial"/>
          <w:sz w:val="24"/>
          <w:szCs w:val="24"/>
        </w:rPr>
        <w:t xml:space="preserve"> </w:t>
      </w:r>
      <w:proofErr w:type="spellStart"/>
      <w:r>
        <w:rPr>
          <w:rFonts w:ascii="Arial" w:hAnsi="Arial" w:cs="Arial"/>
          <w:sz w:val="24"/>
          <w:szCs w:val="24"/>
        </w:rPr>
        <w:t>negativo</w:t>
      </w:r>
      <w:proofErr w:type="spellEnd"/>
      <w:r>
        <w:rPr>
          <w:rFonts w:ascii="Arial" w:hAnsi="Arial" w:cs="Arial"/>
          <w:sz w:val="24"/>
          <w:szCs w:val="24"/>
        </w:rPr>
        <w:t xml:space="preserve"> al </w:t>
      </w:r>
      <w:proofErr w:type="spellStart"/>
      <w:r>
        <w:rPr>
          <w:rFonts w:ascii="Arial" w:hAnsi="Arial" w:cs="Arial"/>
          <w:sz w:val="24"/>
          <w:szCs w:val="24"/>
        </w:rPr>
        <w:t>ambiente</w:t>
      </w:r>
      <w:proofErr w:type="spellEnd"/>
      <w:r>
        <w:rPr>
          <w:rFonts w:ascii="Arial" w:hAnsi="Arial" w:cs="Arial"/>
          <w:sz w:val="24"/>
          <w:szCs w:val="24"/>
        </w:rPr>
        <w:t>.</w:t>
      </w:r>
    </w:p>
    <w:p w14:paraId="6E8B6A8E" w14:textId="77777777" w:rsidR="00892A5C" w:rsidRDefault="00892A5C" w:rsidP="00892A5C">
      <w:pPr>
        <w:pStyle w:val="Prrafodelista"/>
        <w:numPr>
          <w:ilvl w:val="0"/>
          <w:numId w:val="3"/>
        </w:numPr>
        <w:spacing w:line="360" w:lineRule="auto"/>
        <w:jc w:val="both"/>
        <w:rPr>
          <w:rFonts w:ascii="Arial" w:hAnsi="Arial" w:cs="Arial"/>
          <w:sz w:val="24"/>
          <w:szCs w:val="24"/>
        </w:rPr>
      </w:pPr>
      <w:r w:rsidRPr="00397ACB">
        <w:rPr>
          <w:rFonts w:ascii="Arial" w:hAnsi="Arial" w:cs="Arial"/>
          <w:sz w:val="24"/>
          <w:szCs w:val="24"/>
        </w:rPr>
        <w:t xml:space="preserve">El </w:t>
      </w:r>
      <w:proofErr w:type="spellStart"/>
      <w:r w:rsidRPr="00397ACB">
        <w:rPr>
          <w:rFonts w:ascii="Arial" w:hAnsi="Arial" w:cs="Arial"/>
          <w:sz w:val="24"/>
          <w:szCs w:val="24"/>
        </w:rPr>
        <w:t>mantenimiento</w:t>
      </w:r>
      <w:proofErr w:type="spellEnd"/>
      <w:r w:rsidRPr="00397ACB">
        <w:rPr>
          <w:rFonts w:ascii="Arial" w:hAnsi="Arial" w:cs="Arial"/>
          <w:sz w:val="24"/>
          <w:szCs w:val="24"/>
        </w:rPr>
        <w:t xml:space="preserve"> </w:t>
      </w:r>
      <w:r>
        <w:rPr>
          <w:rFonts w:ascii="Arial" w:hAnsi="Arial" w:cs="Arial"/>
          <w:sz w:val="24"/>
          <w:szCs w:val="24"/>
        </w:rPr>
        <w:t xml:space="preserve">se </w:t>
      </w:r>
      <w:proofErr w:type="spellStart"/>
      <w:r>
        <w:rPr>
          <w:rFonts w:ascii="Arial" w:hAnsi="Arial" w:cs="Arial"/>
          <w:sz w:val="24"/>
          <w:szCs w:val="24"/>
        </w:rPr>
        <w:t>considera</w:t>
      </w:r>
      <w:proofErr w:type="spellEnd"/>
      <w:r>
        <w:rPr>
          <w:rFonts w:ascii="Arial" w:hAnsi="Arial" w:cs="Arial"/>
          <w:sz w:val="24"/>
          <w:szCs w:val="24"/>
        </w:rPr>
        <w:t xml:space="preserve"> 0 </w:t>
      </w:r>
      <w:proofErr w:type="spellStart"/>
      <w:r>
        <w:rPr>
          <w:rFonts w:ascii="Arial" w:hAnsi="Arial" w:cs="Arial"/>
          <w:sz w:val="24"/>
          <w:szCs w:val="24"/>
        </w:rPr>
        <w:t>después</w:t>
      </w:r>
      <w:proofErr w:type="spellEnd"/>
      <w:r>
        <w:rPr>
          <w:rFonts w:ascii="Arial" w:hAnsi="Arial" w:cs="Arial"/>
          <w:sz w:val="24"/>
          <w:szCs w:val="24"/>
        </w:rPr>
        <w:t xml:space="preserve"> de </w:t>
      </w:r>
      <w:proofErr w:type="spellStart"/>
      <w:r>
        <w:rPr>
          <w:rFonts w:ascii="Arial" w:hAnsi="Arial" w:cs="Arial"/>
          <w:sz w:val="24"/>
          <w:szCs w:val="24"/>
        </w:rPr>
        <w:t>su</w:t>
      </w:r>
      <w:proofErr w:type="spellEnd"/>
      <w:r>
        <w:rPr>
          <w:rFonts w:ascii="Arial" w:hAnsi="Arial" w:cs="Arial"/>
          <w:sz w:val="24"/>
          <w:szCs w:val="24"/>
        </w:rPr>
        <w:t xml:space="preserve"> primer </w:t>
      </w:r>
      <w:proofErr w:type="spellStart"/>
      <w:r>
        <w:rPr>
          <w:rFonts w:ascii="Arial" w:hAnsi="Arial" w:cs="Arial"/>
          <w:sz w:val="24"/>
          <w:szCs w:val="24"/>
        </w:rPr>
        <w:t>riego</w:t>
      </w:r>
      <w:proofErr w:type="spellEnd"/>
      <w:r>
        <w:rPr>
          <w:rFonts w:ascii="Arial" w:hAnsi="Arial" w:cs="Arial"/>
          <w:sz w:val="24"/>
          <w:szCs w:val="24"/>
        </w:rPr>
        <w:t xml:space="preserve"> y </w:t>
      </w:r>
      <w:proofErr w:type="spellStart"/>
      <w:r>
        <w:rPr>
          <w:rFonts w:ascii="Arial" w:hAnsi="Arial" w:cs="Arial"/>
          <w:sz w:val="24"/>
          <w:szCs w:val="24"/>
        </w:rPr>
        <w:t>el</w:t>
      </w:r>
      <w:proofErr w:type="spellEnd"/>
      <w:r>
        <w:rPr>
          <w:rFonts w:ascii="Arial" w:hAnsi="Arial" w:cs="Arial"/>
          <w:sz w:val="24"/>
          <w:szCs w:val="24"/>
        </w:rPr>
        <w:t xml:space="preserve"> Segundo </w:t>
      </w:r>
      <w:proofErr w:type="spellStart"/>
      <w:r>
        <w:rPr>
          <w:rFonts w:ascii="Arial" w:hAnsi="Arial" w:cs="Arial"/>
          <w:sz w:val="24"/>
          <w:szCs w:val="24"/>
        </w:rPr>
        <w:t>una</w:t>
      </w:r>
      <w:proofErr w:type="spellEnd"/>
      <w:r>
        <w:rPr>
          <w:rFonts w:ascii="Arial" w:hAnsi="Arial" w:cs="Arial"/>
          <w:sz w:val="24"/>
          <w:szCs w:val="24"/>
        </w:rPr>
        <w:t xml:space="preserve"> </w:t>
      </w:r>
      <w:proofErr w:type="spellStart"/>
      <w:r>
        <w:rPr>
          <w:rFonts w:ascii="Arial" w:hAnsi="Arial" w:cs="Arial"/>
          <w:sz w:val="24"/>
          <w:szCs w:val="24"/>
        </w:rPr>
        <w:t>semana</w:t>
      </w:r>
      <w:proofErr w:type="spellEnd"/>
      <w:r>
        <w:rPr>
          <w:rFonts w:ascii="Arial" w:hAnsi="Arial" w:cs="Arial"/>
          <w:sz w:val="24"/>
          <w:szCs w:val="24"/>
        </w:rPr>
        <w:t xml:space="preserve"> </w:t>
      </w:r>
      <w:proofErr w:type="spellStart"/>
      <w:r>
        <w:rPr>
          <w:rFonts w:ascii="Arial" w:hAnsi="Arial" w:cs="Arial"/>
          <w:sz w:val="24"/>
          <w:szCs w:val="24"/>
        </w:rPr>
        <w:t>después</w:t>
      </w:r>
      <w:proofErr w:type="spellEnd"/>
      <w:r>
        <w:rPr>
          <w:rFonts w:ascii="Arial" w:hAnsi="Arial" w:cs="Arial"/>
          <w:sz w:val="24"/>
          <w:szCs w:val="24"/>
        </w:rPr>
        <w:t xml:space="preserve"> de </w:t>
      </w:r>
      <w:proofErr w:type="spellStart"/>
      <w:r>
        <w:rPr>
          <w:rFonts w:ascii="Arial" w:hAnsi="Arial" w:cs="Arial"/>
          <w:sz w:val="24"/>
          <w:szCs w:val="24"/>
        </w:rPr>
        <w:t>instalación</w:t>
      </w:r>
      <w:proofErr w:type="spellEnd"/>
      <w:r w:rsidRPr="00397ACB">
        <w:rPr>
          <w:rFonts w:ascii="Arial" w:hAnsi="Arial" w:cs="Arial"/>
          <w:sz w:val="24"/>
          <w:szCs w:val="24"/>
        </w:rPr>
        <w:t>.</w:t>
      </w:r>
    </w:p>
    <w:p w14:paraId="7514AA03" w14:textId="75ABCC5B" w:rsidR="00631928" w:rsidRDefault="00631928" w:rsidP="00892A5C">
      <w:pPr>
        <w:pStyle w:val="Prrafodelista"/>
        <w:numPr>
          <w:ilvl w:val="0"/>
          <w:numId w:val="3"/>
        </w:numPr>
        <w:spacing w:line="360" w:lineRule="auto"/>
        <w:jc w:val="both"/>
        <w:rPr>
          <w:rFonts w:ascii="Arial" w:hAnsi="Arial" w:cs="Arial"/>
          <w:sz w:val="24"/>
          <w:szCs w:val="24"/>
        </w:rPr>
      </w:pPr>
      <w:proofErr w:type="spellStart"/>
      <w:r>
        <w:rPr>
          <w:rFonts w:ascii="Arial" w:hAnsi="Arial" w:cs="Arial"/>
          <w:sz w:val="24"/>
          <w:szCs w:val="24"/>
        </w:rPr>
        <w:t>Todos</w:t>
      </w:r>
      <w:proofErr w:type="spellEnd"/>
      <w:r>
        <w:rPr>
          <w:rFonts w:ascii="Arial" w:hAnsi="Arial" w:cs="Arial"/>
          <w:sz w:val="24"/>
          <w:szCs w:val="24"/>
        </w:rPr>
        <w:t xml:space="preserve"> </w:t>
      </w:r>
      <w:proofErr w:type="spellStart"/>
      <w:r>
        <w:rPr>
          <w:rFonts w:ascii="Arial" w:hAnsi="Arial" w:cs="Arial"/>
          <w:sz w:val="24"/>
          <w:szCs w:val="24"/>
        </w:rPr>
        <w:t>los</w:t>
      </w:r>
      <w:proofErr w:type="spellEnd"/>
      <w:r>
        <w:rPr>
          <w:rFonts w:ascii="Arial" w:hAnsi="Arial" w:cs="Arial"/>
          <w:sz w:val="24"/>
          <w:szCs w:val="24"/>
        </w:rPr>
        <w:t xml:space="preserve"> </w:t>
      </w:r>
      <w:proofErr w:type="spellStart"/>
      <w:r>
        <w:rPr>
          <w:rFonts w:ascii="Arial" w:hAnsi="Arial" w:cs="Arial"/>
          <w:sz w:val="24"/>
          <w:szCs w:val="24"/>
        </w:rPr>
        <w:t>materiales</w:t>
      </w:r>
      <w:proofErr w:type="spellEnd"/>
      <w:r>
        <w:rPr>
          <w:rFonts w:ascii="Arial" w:hAnsi="Arial" w:cs="Arial"/>
          <w:sz w:val="24"/>
          <w:szCs w:val="24"/>
        </w:rPr>
        <w:t xml:space="preserve"> son de </w:t>
      </w:r>
      <w:proofErr w:type="spellStart"/>
      <w:r>
        <w:rPr>
          <w:rFonts w:ascii="Arial" w:hAnsi="Arial" w:cs="Arial"/>
          <w:sz w:val="24"/>
          <w:szCs w:val="24"/>
        </w:rPr>
        <w:t>origen</w:t>
      </w:r>
      <w:proofErr w:type="spellEnd"/>
      <w:r>
        <w:rPr>
          <w:rFonts w:ascii="Arial" w:hAnsi="Arial" w:cs="Arial"/>
          <w:sz w:val="24"/>
          <w:szCs w:val="24"/>
        </w:rPr>
        <w:t xml:space="preserve"> </w:t>
      </w:r>
      <w:proofErr w:type="spellStart"/>
      <w:r>
        <w:rPr>
          <w:rFonts w:ascii="Arial" w:hAnsi="Arial" w:cs="Arial"/>
          <w:sz w:val="24"/>
          <w:szCs w:val="24"/>
        </w:rPr>
        <w:t>mexicano</w:t>
      </w:r>
      <w:proofErr w:type="spellEnd"/>
      <w:r>
        <w:rPr>
          <w:rFonts w:ascii="Arial" w:hAnsi="Arial" w:cs="Arial"/>
          <w:sz w:val="24"/>
          <w:szCs w:val="24"/>
        </w:rPr>
        <w:t xml:space="preserve">, except </w:t>
      </w:r>
      <w:proofErr w:type="spellStart"/>
      <w:r>
        <w:rPr>
          <w:rFonts w:ascii="Arial" w:hAnsi="Arial" w:cs="Arial"/>
          <w:sz w:val="24"/>
          <w:szCs w:val="24"/>
        </w:rPr>
        <w:t>por</w:t>
      </w:r>
      <w:proofErr w:type="spellEnd"/>
      <w:r>
        <w:rPr>
          <w:rFonts w:ascii="Arial" w:hAnsi="Arial" w:cs="Arial"/>
          <w:sz w:val="24"/>
          <w:szCs w:val="24"/>
        </w:rPr>
        <w:t xml:space="preserve"> </w:t>
      </w:r>
      <w:proofErr w:type="spellStart"/>
      <w:r>
        <w:rPr>
          <w:rFonts w:ascii="Arial" w:hAnsi="Arial" w:cs="Arial"/>
          <w:sz w:val="24"/>
          <w:szCs w:val="24"/>
        </w:rPr>
        <w:t>el</w:t>
      </w:r>
      <w:proofErr w:type="spellEnd"/>
      <w:r>
        <w:rPr>
          <w:rFonts w:ascii="Arial" w:hAnsi="Arial" w:cs="Arial"/>
          <w:sz w:val="24"/>
          <w:szCs w:val="24"/>
        </w:rPr>
        <w:t xml:space="preserve"> </w:t>
      </w:r>
      <w:proofErr w:type="spellStart"/>
      <w:r>
        <w:rPr>
          <w:rFonts w:ascii="Arial" w:hAnsi="Arial" w:cs="Arial"/>
          <w:sz w:val="24"/>
          <w:szCs w:val="24"/>
        </w:rPr>
        <w:t>geotextil</w:t>
      </w:r>
      <w:proofErr w:type="spellEnd"/>
      <w:r>
        <w:rPr>
          <w:rFonts w:ascii="Arial" w:hAnsi="Arial" w:cs="Arial"/>
          <w:sz w:val="24"/>
          <w:szCs w:val="24"/>
        </w:rPr>
        <w:t xml:space="preserve">, </w:t>
      </w:r>
      <w:proofErr w:type="spellStart"/>
      <w:r>
        <w:rPr>
          <w:rFonts w:ascii="Arial" w:hAnsi="Arial" w:cs="Arial"/>
          <w:sz w:val="24"/>
          <w:szCs w:val="24"/>
        </w:rPr>
        <w:t>el</w:t>
      </w:r>
      <w:proofErr w:type="spellEnd"/>
      <w:r>
        <w:rPr>
          <w:rFonts w:ascii="Arial" w:hAnsi="Arial" w:cs="Arial"/>
          <w:sz w:val="24"/>
          <w:szCs w:val="24"/>
        </w:rPr>
        <w:t xml:space="preserve"> </w:t>
      </w:r>
      <w:proofErr w:type="spellStart"/>
      <w:r>
        <w:rPr>
          <w:rFonts w:ascii="Arial" w:hAnsi="Arial" w:cs="Arial"/>
          <w:sz w:val="24"/>
          <w:szCs w:val="24"/>
        </w:rPr>
        <w:t>cual</w:t>
      </w:r>
      <w:proofErr w:type="spellEnd"/>
      <w:r>
        <w:rPr>
          <w:rFonts w:ascii="Arial" w:hAnsi="Arial" w:cs="Arial"/>
          <w:sz w:val="24"/>
          <w:szCs w:val="24"/>
        </w:rPr>
        <w:t xml:space="preserve"> </w:t>
      </w:r>
      <w:proofErr w:type="spellStart"/>
      <w:r>
        <w:rPr>
          <w:rFonts w:ascii="Arial" w:hAnsi="Arial" w:cs="Arial"/>
          <w:sz w:val="24"/>
          <w:szCs w:val="24"/>
        </w:rPr>
        <w:t>tendrá</w:t>
      </w:r>
      <w:proofErr w:type="spellEnd"/>
      <w:r>
        <w:rPr>
          <w:rFonts w:ascii="Arial" w:hAnsi="Arial" w:cs="Arial"/>
          <w:sz w:val="24"/>
          <w:szCs w:val="24"/>
        </w:rPr>
        <w:t xml:space="preserve"> </w:t>
      </w:r>
      <w:proofErr w:type="spellStart"/>
      <w:r>
        <w:rPr>
          <w:rFonts w:ascii="Arial" w:hAnsi="Arial" w:cs="Arial"/>
          <w:sz w:val="24"/>
          <w:szCs w:val="24"/>
        </w:rPr>
        <w:t>una</w:t>
      </w:r>
      <w:proofErr w:type="spellEnd"/>
      <w:r>
        <w:rPr>
          <w:rFonts w:ascii="Arial" w:hAnsi="Arial" w:cs="Arial"/>
          <w:sz w:val="24"/>
          <w:szCs w:val="24"/>
        </w:rPr>
        <w:t xml:space="preserve"> </w:t>
      </w:r>
      <w:proofErr w:type="spellStart"/>
      <w:r>
        <w:rPr>
          <w:rFonts w:ascii="Arial" w:hAnsi="Arial" w:cs="Arial"/>
          <w:sz w:val="24"/>
          <w:szCs w:val="24"/>
        </w:rPr>
        <w:t>huella</w:t>
      </w:r>
      <w:proofErr w:type="spellEnd"/>
      <w:r>
        <w:rPr>
          <w:rFonts w:ascii="Arial" w:hAnsi="Arial" w:cs="Arial"/>
          <w:sz w:val="24"/>
          <w:szCs w:val="24"/>
        </w:rPr>
        <w:t xml:space="preserve"> de </w:t>
      </w:r>
      <w:proofErr w:type="spellStart"/>
      <w:r>
        <w:rPr>
          <w:rFonts w:ascii="Arial" w:hAnsi="Arial" w:cs="Arial"/>
          <w:sz w:val="24"/>
          <w:szCs w:val="24"/>
        </w:rPr>
        <w:t>carbono</w:t>
      </w:r>
      <w:proofErr w:type="spellEnd"/>
      <w:r>
        <w:rPr>
          <w:rFonts w:ascii="Arial" w:hAnsi="Arial" w:cs="Arial"/>
          <w:sz w:val="24"/>
          <w:szCs w:val="24"/>
        </w:rPr>
        <w:t xml:space="preserve"> mayor </w:t>
      </w:r>
      <w:proofErr w:type="spellStart"/>
      <w:r>
        <w:rPr>
          <w:rFonts w:ascii="Arial" w:hAnsi="Arial" w:cs="Arial"/>
          <w:sz w:val="24"/>
          <w:szCs w:val="24"/>
        </w:rPr>
        <w:t>en</w:t>
      </w:r>
      <w:proofErr w:type="spellEnd"/>
      <w:r>
        <w:rPr>
          <w:rFonts w:ascii="Arial" w:hAnsi="Arial" w:cs="Arial"/>
          <w:sz w:val="24"/>
          <w:szCs w:val="24"/>
        </w:rPr>
        <w:t xml:space="preserve"> la </w:t>
      </w:r>
      <w:proofErr w:type="spellStart"/>
      <w:r>
        <w:rPr>
          <w:rFonts w:ascii="Arial" w:hAnsi="Arial" w:cs="Arial"/>
          <w:sz w:val="24"/>
          <w:szCs w:val="24"/>
        </w:rPr>
        <w:t>etapa</w:t>
      </w:r>
      <w:proofErr w:type="spellEnd"/>
      <w:r>
        <w:rPr>
          <w:rFonts w:ascii="Arial" w:hAnsi="Arial" w:cs="Arial"/>
          <w:sz w:val="24"/>
          <w:szCs w:val="24"/>
        </w:rPr>
        <w:t xml:space="preserve"> de </w:t>
      </w:r>
      <w:proofErr w:type="spellStart"/>
      <w:r>
        <w:rPr>
          <w:rFonts w:ascii="Arial" w:hAnsi="Arial" w:cs="Arial"/>
          <w:sz w:val="24"/>
          <w:szCs w:val="24"/>
        </w:rPr>
        <w:t>transporte</w:t>
      </w:r>
      <w:proofErr w:type="spellEnd"/>
      <w:r>
        <w:rPr>
          <w:rFonts w:ascii="Arial" w:hAnsi="Arial" w:cs="Arial"/>
          <w:sz w:val="24"/>
          <w:szCs w:val="24"/>
        </w:rPr>
        <w:t>.</w:t>
      </w:r>
    </w:p>
    <w:p w14:paraId="513E0768" w14:textId="77777777" w:rsidR="00A36576" w:rsidRDefault="00B10AB3" w:rsidP="00A36576">
      <w:pPr>
        <w:keepNext/>
        <w:spacing w:line="360" w:lineRule="auto"/>
        <w:jc w:val="both"/>
      </w:pPr>
      <w:r>
        <w:rPr>
          <w:noProof/>
        </w:rPr>
        <w:drawing>
          <wp:inline distT="0" distB="0" distL="0" distR="0" wp14:anchorId="6DFF40CE" wp14:editId="2C87CC59">
            <wp:extent cx="5612130" cy="3345815"/>
            <wp:effectExtent l="0" t="0" r="7620" b="6985"/>
            <wp:docPr id="191227790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77905" name="Imagen 1" descr="Diagram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345815"/>
                    </a:xfrm>
                    <a:prstGeom prst="rect">
                      <a:avLst/>
                    </a:prstGeom>
                    <a:noFill/>
                    <a:ln>
                      <a:noFill/>
                    </a:ln>
                  </pic:spPr>
                </pic:pic>
              </a:graphicData>
            </a:graphic>
          </wp:inline>
        </w:drawing>
      </w:r>
    </w:p>
    <w:p w14:paraId="6EB25EE5" w14:textId="3A3108EA" w:rsidR="00B10AB3" w:rsidRPr="00A36576" w:rsidRDefault="00A36576" w:rsidP="00A36576">
      <w:pPr>
        <w:pStyle w:val="Descripcin"/>
        <w:jc w:val="both"/>
        <w:rPr>
          <w:rFonts w:ascii="Arial" w:hAnsi="Arial" w:cs="Arial"/>
          <w:i w:val="0"/>
          <w:iCs w:val="0"/>
          <w:color w:val="auto"/>
          <w:sz w:val="28"/>
          <w:szCs w:val="28"/>
        </w:rPr>
      </w:pPr>
      <w:r w:rsidRPr="00A36576">
        <w:rPr>
          <w:rFonts w:ascii="Arial" w:hAnsi="Arial" w:cs="Arial"/>
          <w:b/>
          <w:bCs/>
          <w:i w:val="0"/>
          <w:iCs w:val="0"/>
          <w:color w:val="auto"/>
          <w:sz w:val="20"/>
          <w:szCs w:val="20"/>
        </w:rPr>
        <w:t xml:space="preserve">Figura </w:t>
      </w:r>
      <w:r w:rsidRPr="00A36576">
        <w:rPr>
          <w:rFonts w:ascii="Arial" w:hAnsi="Arial" w:cs="Arial"/>
          <w:b/>
          <w:bCs/>
          <w:i w:val="0"/>
          <w:iCs w:val="0"/>
          <w:color w:val="auto"/>
          <w:sz w:val="20"/>
          <w:szCs w:val="20"/>
        </w:rPr>
        <w:fldChar w:fldCharType="begin"/>
      </w:r>
      <w:r w:rsidRPr="00A36576">
        <w:rPr>
          <w:rFonts w:ascii="Arial" w:hAnsi="Arial" w:cs="Arial"/>
          <w:b/>
          <w:bCs/>
          <w:i w:val="0"/>
          <w:iCs w:val="0"/>
          <w:color w:val="auto"/>
          <w:sz w:val="20"/>
          <w:szCs w:val="20"/>
        </w:rPr>
        <w:instrText xml:space="preserve"> SEQ Figura \* ARABIC </w:instrText>
      </w:r>
      <w:r w:rsidRPr="00A36576">
        <w:rPr>
          <w:rFonts w:ascii="Arial" w:hAnsi="Arial" w:cs="Arial"/>
          <w:b/>
          <w:bCs/>
          <w:i w:val="0"/>
          <w:iCs w:val="0"/>
          <w:color w:val="auto"/>
          <w:sz w:val="20"/>
          <w:szCs w:val="20"/>
        </w:rPr>
        <w:fldChar w:fldCharType="separate"/>
      </w:r>
      <w:r w:rsidR="00936848">
        <w:rPr>
          <w:rFonts w:ascii="Arial" w:hAnsi="Arial" w:cs="Arial"/>
          <w:b/>
          <w:bCs/>
          <w:i w:val="0"/>
          <w:iCs w:val="0"/>
          <w:noProof/>
          <w:color w:val="auto"/>
          <w:sz w:val="20"/>
          <w:szCs w:val="20"/>
        </w:rPr>
        <w:t>2</w:t>
      </w:r>
      <w:r w:rsidRPr="00A36576">
        <w:rPr>
          <w:rFonts w:ascii="Arial" w:hAnsi="Arial" w:cs="Arial"/>
          <w:b/>
          <w:bCs/>
          <w:i w:val="0"/>
          <w:iCs w:val="0"/>
          <w:color w:val="auto"/>
          <w:sz w:val="20"/>
          <w:szCs w:val="20"/>
        </w:rPr>
        <w:fldChar w:fldCharType="end"/>
      </w:r>
      <w:r w:rsidRPr="00A36576">
        <w:rPr>
          <w:rFonts w:ascii="Arial" w:hAnsi="Arial" w:cs="Arial"/>
          <w:b/>
          <w:bCs/>
          <w:i w:val="0"/>
          <w:iCs w:val="0"/>
          <w:color w:val="auto"/>
          <w:sz w:val="20"/>
          <w:szCs w:val="20"/>
        </w:rPr>
        <w:t>.</w:t>
      </w:r>
      <w:r w:rsidRPr="00A36576">
        <w:rPr>
          <w:rFonts w:ascii="Arial" w:hAnsi="Arial" w:cs="Arial"/>
          <w:i w:val="0"/>
          <w:iCs w:val="0"/>
          <w:color w:val="auto"/>
          <w:sz w:val="20"/>
          <w:szCs w:val="20"/>
        </w:rPr>
        <w:t xml:space="preserve"> Diagrama de flujo simplificado del ciclo de vida del TVLE</w:t>
      </w:r>
    </w:p>
    <w:p w14:paraId="049E4498" w14:textId="77777777" w:rsidR="006766FC" w:rsidRDefault="006766FC" w:rsidP="006766FC">
      <w:pPr>
        <w:pStyle w:val="Default"/>
        <w:jc w:val="both"/>
        <w:rPr>
          <w:rFonts w:ascii="Arial" w:hAnsi="Arial" w:cs="Arial"/>
          <w:color w:val="C45911" w:themeColor="accent2" w:themeShade="BF"/>
          <w:highlight w:val="green"/>
        </w:rPr>
      </w:pPr>
    </w:p>
    <w:p w14:paraId="7116C364" w14:textId="77777777" w:rsidR="006766FC" w:rsidRDefault="006766FC" w:rsidP="006766FC">
      <w:pPr>
        <w:pStyle w:val="Default"/>
        <w:jc w:val="both"/>
        <w:rPr>
          <w:rFonts w:ascii="Arial" w:hAnsi="Arial" w:cs="Arial"/>
          <w:color w:val="C45911" w:themeColor="accent2" w:themeShade="BF"/>
          <w:highlight w:val="green"/>
        </w:rPr>
      </w:pPr>
    </w:p>
    <w:p w14:paraId="700A8BDC" w14:textId="77777777" w:rsidR="006766FC" w:rsidRDefault="006766FC" w:rsidP="006766FC">
      <w:pPr>
        <w:jc w:val="both"/>
        <w:rPr>
          <w:rFonts w:ascii="Arial" w:hAnsi="Arial" w:cs="Arial"/>
          <w:i/>
          <w:iCs/>
          <w:sz w:val="24"/>
          <w:szCs w:val="24"/>
        </w:rPr>
      </w:pPr>
    </w:p>
    <w:p w14:paraId="1152D050" w14:textId="0D54248A" w:rsidR="006766FC" w:rsidRPr="006766FC" w:rsidRDefault="006766FC" w:rsidP="006766FC">
      <w:pPr>
        <w:jc w:val="both"/>
        <w:rPr>
          <w:rFonts w:ascii="Arial" w:hAnsi="Arial" w:cs="Arial"/>
          <w:i/>
          <w:iCs/>
          <w:sz w:val="24"/>
          <w:szCs w:val="24"/>
        </w:rPr>
      </w:pPr>
      <w:r w:rsidRPr="00807274">
        <w:rPr>
          <w:rFonts w:ascii="Arial" w:hAnsi="Arial" w:cs="Arial"/>
          <w:i/>
          <w:iCs/>
          <w:sz w:val="24"/>
          <w:szCs w:val="24"/>
        </w:rPr>
        <w:t xml:space="preserve">Objetivo Específico </w:t>
      </w:r>
      <w:r>
        <w:rPr>
          <w:rFonts w:ascii="Arial" w:hAnsi="Arial" w:cs="Arial"/>
          <w:i/>
          <w:iCs/>
          <w:sz w:val="24"/>
          <w:szCs w:val="24"/>
        </w:rPr>
        <w:t>4</w:t>
      </w:r>
      <w:r w:rsidRPr="00807274">
        <w:rPr>
          <w:rFonts w:ascii="Arial" w:hAnsi="Arial" w:cs="Arial"/>
          <w:i/>
          <w:iCs/>
          <w:sz w:val="24"/>
          <w:szCs w:val="24"/>
        </w:rPr>
        <w:t xml:space="preserve">. </w:t>
      </w:r>
    </w:p>
    <w:p w14:paraId="2A3FDF41" w14:textId="02E2129E" w:rsidR="00445884" w:rsidRPr="002770E8" w:rsidRDefault="00042957" w:rsidP="002770E8">
      <w:pPr>
        <w:spacing w:line="360" w:lineRule="auto"/>
        <w:jc w:val="both"/>
        <w:rPr>
          <w:rFonts w:ascii="Arial" w:hAnsi="Arial" w:cs="Arial"/>
          <w:sz w:val="24"/>
          <w:szCs w:val="24"/>
        </w:rPr>
      </w:pPr>
      <w:r w:rsidRPr="002770E8">
        <w:rPr>
          <w:rFonts w:ascii="Arial" w:hAnsi="Arial" w:cs="Arial"/>
          <w:sz w:val="24"/>
          <w:szCs w:val="24"/>
        </w:rPr>
        <w:t xml:space="preserve">Los  procesos de Metabolismo Ácido de las Crasuláceas (CAM) </w:t>
      </w:r>
      <w:r w:rsidR="008E2F23" w:rsidRPr="002770E8">
        <w:rPr>
          <w:rFonts w:ascii="Arial" w:hAnsi="Arial" w:cs="Arial"/>
          <w:sz w:val="24"/>
          <w:szCs w:val="24"/>
        </w:rPr>
        <w:t xml:space="preserve">de las especies </w:t>
      </w:r>
      <w:r w:rsidR="00E87782" w:rsidRPr="002770E8">
        <w:rPr>
          <w:rFonts w:ascii="Arial" w:hAnsi="Arial" w:cs="Arial"/>
          <w:sz w:val="24"/>
          <w:szCs w:val="24"/>
        </w:rPr>
        <w:t xml:space="preserve">S. </w:t>
      </w:r>
      <w:proofErr w:type="spellStart"/>
      <w:r w:rsidR="00E87782" w:rsidRPr="002770E8">
        <w:rPr>
          <w:rFonts w:ascii="Arial" w:hAnsi="Arial" w:cs="Arial"/>
          <w:sz w:val="24"/>
          <w:szCs w:val="24"/>
        </w:rPr>
        <w:t>dendroideum</w:t>
      </w:r>
      <w:proofErr w:type="spellEnd"/>
      <w:r w:rsidR="00E87782" w:rsidRPr="002770E8">
        <w:rPr>
          <w:rFonts w:ascii="Arial" w:hAnsi="Arial" w:cs="Arial"/>
          <w:sz w:val="24"/>
          <w:szCs w:val="24"/>
        </w:rPr>
        <w:t xml:space="preserve"> y S. </w:t>
      </w:r>
      <w:proofErr w:type="spellStart"/>
      <w:r w:rsidR="00E87782" w:rsidRPr="002770E8">
        <w:rPr>
          <w:rFonts w:ascii="Arial" w:hAnsi="Arial" w:cs="Arial"/>
          <w:sz w:val="24"/>
          <w:szCs w:val="24"/>
        </w:rPr>
        <w:t>rubrotinctum</w:t>
      </w:r>
      <w:proofErr w:type="spellEnd"/>
      <w:r w:rsidR="00445884" w:rsidRPr="002770E8">
        <w:rPr>
          <w:rFonts w:ascii="Arial" w:hAnsi="Arial" w:cs="Arial"/>
          <w:sz w:val="24"/>
          <w:szCs w:val="24"/>
        </w:rPr>
        <w:t xml:space="preserve">, </w:t>
      </w:r>
      <w:r w:rsidR="00E072A1" w:rsidRPr="002770E8">
        <w:rPr>
          <w:rFonts w:ascii="Arial" w:hAnsi="Arial" w:cs="Arial"/>
          <w:sz w:val="24"/>
          <w:szCs w:val="24"/>
        </w:rPr>
        <w:t>son parecidos</w:t>
      </w:r>
      <w:r w:rsidRPr="002770E8">
        <w:rPr>
          <w:rFonts w:ascii="Arial" w:hAnsi="Arial" w:cs="Arial"/>
          <w:sz w:val="24"/>
          <w:szCs w:val="24"/>
        </w:rPr>
        <w:t xml:space="preserve">, se estima que </w:t>
      </w:r>
      <w:r w:rsidR="00C85368" w:rsidRPr="002770E8">
        <w:rPr>
          <w:rFonts w:ascii="Arial" w:hAnsi="Arial" w:cs="Arial"/>
          <w:sz w:val="24"/>
          <w:szCs w:val="24"/>
        </w:rPr>
        <w:t>mensualmente</w:t>
      </w:r>
      <w:r w:rsidR="00204B6B" w:rsidRPr="002770E8">
        <w:rPr>
          <w:rFonts w:ascii="Arial" w:hAnsi="Arial" w:cs="Arial"/>
          <w:sz w:val="24"/>
          <w:szCs w:val="24"/>
        </w:rPr>
        <w:t xml:space="preserve"> en la CDMX</w:t>
      </w:r>
      <w:r w:rsidR="00C85368" w:rsidRPr="002770E8">
        <w:rPr>
          <w:rFonts w:ascii="Arial" w:hAnsi="Arial" w:cs="Arial"/>
          <w:sz w:val="24"/>
          <w:szCs w:val="24"/>
        </w:rPr>
        <w:t xml:space="preserve"> cada planta tiene la capacidad de asimilar 4.37x104 ppmCO</w:t>
      </w:r>
      <w:r w:rsidR="00C85368" w:rsidRPr="00936848">
        <w:rPr>
          <w:rFonts w:ascii="Arial" w:hAnsi="Arial" w:cs="Arial"/>
          <w:sz w:val="24"/>
          <w:szCs w:val="24"/>
          <w:vertAlign w:val="subscript"/>
        </w:rPr>
        <w:t>2</w:t>
      </w:r>
      <w:r w:rsidR="004255DD" w:rsidRPr="002770E8">
        <w:rPr>
          <w:rFonts w:ascii="Arial" w:hAnsi="Arial" w:cs="Arial"/>
          <w:sz w:val="24"/>
          <w:szCs w:val="24"/>
        </w:rPr>
        <w:t xml:space="preserve"> </w:t>
      </w:r>
      <w:r w:rsidRPr="002770E8">
        <w:rPr>
          <w:rFonts w:ascii="Arial" w:hAnsi="Arial" w:cs="Arial"/>
          <w:sz w:val="24"/>
          <w:szCs w:val="24"/>
        </w:rPr>
        <w:fldChar w:fldCharType="begin" w:fldLock="1"/>
      </w:r>
      <w:r w:rsidR="00163D31">
        <w:rPr>
          <w:rFonts w:ascii="Arial" w:hAnsi="Arial" w:cs="Arial"/>
          <w:sz w:val="24"/>
          <w:szCs w:val="24"/>
        </w:rPr>
        <w:instrText>ADDIN CSL_CITATION {"citationItems":[{"id":"ITEM-1","itemData":{"DOI":"10.1371/currents.dis.bb66ae4f4f3c6eb118a019a29a9ce80f","ISSN":"2157-3999","abstract":"INTRODUCTION In the first months of 2016, the Mexico City Metropolitan Area experienced the worst air pollution crisis in the last decade, prompting drastic short-term solutions by the Mexico City Government and neighboring States. In order to help further the search for long-term sustainable solutions, we felt obliged to immediately release the results of our research regarding the monitoring of carbon sequestration by green roofs. Large-scale naturation, such as the implementation of green roofs, provides a way to partially mitigate the increased carbon dioxide output in urban areas. METHODS Here, we quantified the carbon sequestration capabilities of two ornamental succulent plant species, Sedum dendroideum and Sedum rubrotinctum, which require low maintenance, and little or no irrigation. To obtain a detailed picture of these plants' carbon sequestration capabilities, we measured carbon uptake on the Sedum plants by quantifying carbon dioxide exchange and fixation as organic acids, during the day and across the year, on a green roof located in Southern Mexico City. RESULTS The species displayed their typical CAM photosynthetic metabolism. Moreover, our quantification allowed us to conservatively estimate that a newly planted green roof of Sedum sequesters approximately 180,000,000 ppm of carbon dioxide per year in a green roof of 100 square meters in the short term. DISCUSSION The patterns of CAM and carbon dioxide sequestration were highly robust to the fluctuations of temperature and precipitation between seasons, and therefore we speculate that carbon sequestration would be comparable in any given year of a newly planted green roof. Older green roof would require regular trimming to mantain their carbon sink properties, but their carbon sequestration capabilities remain to be quantified. Nevertheless, we propose that Sedum green roofs can be part of the long-term solutions to mitigate the air pollution crisis in the Mexico City Metropolitan area, and other \"megacities\" with marked seasonal drought.","author":[{"dropping-particle":"","family":"Collazo-Ortega","given":"Margarita","non-dropping-particle":"","parse-names":false,"suffix":""},{"dropping-particle":"","family":"Rosas","given":"Ulises","non-dropping-particle":"","parse-names":false,"suffix":""},{"dropping-particle":"","family":"Reyes-Santiago","given":"Jerónimo","non-dropping-particle":"","parse-names":false,"suffix":""}],"container-title":"PLoS Currents","id":"ITEM-1","issued":{"date-parts":[["2017"]]},"page":"1-19","title":"Towards Providing Solutions to the Air Quality Crisis in the Mexico City Metropolitan Area: Carbon Sequestration by Succulent Species in Green Roofs","type":"article-journal"},"uris":["http://www.mendeley.com/documents/?uuid=d2716006-ca04-42d3-aff2-0a94eb71c19f"]}],"mendeley":{"formattedCitation":"(Collazo-Ortega et al., 2017)","plainTextFormattedCitation":"(Collazo-Ortega et al., 2017)","previouslyFormattedCitation":"(Collazo-Ortega et al., 2017)"},"properties":{"noteIndex":0},"schema":"https://github.com/citation-style-language/schema/raw/master/csl-citation.json"}</w:instrText>
      </w:r>
      <w:r w:rsidRPr="002770E8">
        <w:rPr>
          <w:rFonts w:ascii="Arial" w:hAnsi="Arial" w:cs="Arial"/>
          <w:sz w:val="24"/>
          <w:szCs w:val="24"/>
        </w:rPr>
        <w:fldChar w:fldCharType="separate"/>
      </w:r>
      <w:r w:rsidRPr="002770E8">
        <w:rPr>
          <w:rFonts w:ascii="Arial" w:hAnsi="Arial" w:cs="Arial"/>
          <w:noProof/>
          <w:sz w:val="24"/>
          <w:szCs w:val="24"/>
        </w:rPr>
        <w:t>(Collazo-Ortega et al., 2017)</w:t>
      </w:r>
      <w:r w:rsidRPr="002770E8">
        <w:rPr>
          <w:rFonts w:ascii="Arial" w:hAnsi="Arial" w:cs="Arial"/>
          <w:sz w:val="24"/>
          <w:szCs w:val="24"/>
        </w:rPr>
        <w:fldChar w:fldCharType="end"/>
      </w:r>
      <w:r w:rsidR="00BF624B" w:rsidRPr="002770E8">
        <w:rPr>
          <w:rFonts w:ascii="Arial" w:hAnsi="Arial" w:cs="Arial"/>
          <w:sz w:val="24"/>
          <w:szCs w:val="24"/>
        </w:rPr>
        <w:t>, por lo que se emplea este valor para calcular la cantidad de CO</w:t>
      </w:r>
      <w:r w:rsidR="00BF624B" w:rsidRPr="00936848">
        <w:rPr>
          <w:rFonts w:ascii="Arial" w:hAnsi="Arial" w:cs="Arial"/>
          <w:sz w:val="24"/>
          <w:szCs w:val="24"/>
          <w:vertAlign w:val="subscript"/>
        </w:rPr>
        <w:t>2</w:t>
      </w:r>
      <w:r w:rsidR="00BF624B" w:rsidRPr="002770E8">
        <w:rPr>
          <w:rFonts w:ascii="Arial" w:hAnsi="Arial" w:cs="Arial"/>
          <w:sz w:val="24"/>
          <w:szCs w:val="24"/>
        </w:rPr>
        <w:t xml:space="preserve"> absorbido por las 36 plantas de ambas especies que se encuentran en el TVLE</w:t>
      </w:r>
      <w:r w:rsidR="00204B6B" w:rsidRPr="002770E8">
        <w:rPr>
          <w:rFonts w:ascii="Arial" w:hAnsi="Arial" w:cs="Arial"/>
          <w:sz w:val="24"/>
          <w:szCs w:val="24"/>
        </w:rPr>
        <w:t xml:space="preserve"> en su período de estabilización con duración de seis meses.</w:t>
      </w:r>
    </w:p>
    <w:p w14:paraId="410740E4" w14:textId="77777777" w:rsidR="00E87782" w:rsidRPr="00AA5CA3" w:rsidRDefault="00E87782" w:rsidP="006766FC">
      <w:pPr>
        <w:pStyle w:val="Default"/>
        <w:jc w:val="both"/>
        <w:rPr>
          <w:rFonts w:ascii="Arial" w:hAnsi="Arial" w:cs="Arial"/>
          <w:color w:val="C45911" w:themeColor="accent2" w:themeShade="BF"/>
          <w:highlight w:val="green"/>
        </w:rPr>
      </w:pPr>
    </w:p>
    <w:p w14:paraId="47CD8FF0" w14:textId="7ED75693" w:rsidR="00A96D5E" w:rsidRPr="00A82FCD" w:rsidRDefault="00A96D5E" w:rsidP="00A96D5E">
      <w:pPr>
        <w:ind w:left="360"/>
        <w:jc w:val="both"/>
        <w:rPr>
          <w:rFonts w:ascii="Arial" w:hAnsi="Arial" w:cs="Arial"/>
          <w:b/>
          <w:bCs/>
          <w:sz w:val="24"/>
          <w:szCs w:val="24"/>
        </w:rPr>
      </w:pPr>
      <w:r w:rsidRPr="00A82FCD">
        <w:rPr>
          <w:rFonts w:ascii="Arial" w:hAnsi="Arial" w:cs="Arial"/>
          <w:b/>
          <w:bCs/>
          <w:sz w:val="24"/>
          <w:szCs w:val="24"/>
        </w:rPr>
        <w:t>Resultados</w:t>
      </w:r>
    </w:p>
    <w:p w14:paraId="541ACAF0" w14:textId="37C7735F" w:rsidR="000F7F04" w:rsidRDefault="000F7F04" w:rsidP="002770E8">
      <w:pPr>
        <w:spacing w:line="360" w:lineRule="auto"/>
        <w:jc w:val="both"/>
        <w:rPr>
          <w:rFonts w:ascii="Arial" w:hAnsi="Arial" w:cs="Arial"/>
          <w:sz w:val="24"/>
          <w:szCs w:val="24"/>
        </w:rPr>
      </w:pPr>
      <w:r>
        <w:rPr>
          <w:rFonts w:ascii="Arial" w:hAnsi="Arial" w:cs="Arial"/>
          <w:sz w:val="24"/>
          <w:szCs w:val="24"/>
        </w:rPr>
        <w:t xml:space="preserve">El cuestionario semi estructurado fue aplicado </w:t>
      </w:r>
      <w:r w:rsidRPr="000F7F04">
        <w:rPr>
          <w:rFonts w:ascii="Arial" w:hAnsi="Arial" w:cs="Arial"/>
          <w:sz w:val="24"/>
          <w:szCs w:val="24"/>
        </w:rPr>
        <w:t xml:space="preserve">a 425 alumnos, 46% mujeres, 52% hombres y 2% no binario. Del total 94 ignoran el concepto de AVU, el resto lo relaciona con elemento naturales, 121 tampoco conocen las </w:t>
      </w:r>
      <w:proofErr w:type="spellStart"/>
      <w:r w:rsidRPr="000F7F04">
        <w:rPr>
          <w:rFonts w:ascii="Arial" w:hAnsi="Arial" w:cs="Arial"/>
          <w:sz w:val="24"/>
          <w:szCs w:val="24"/>
        </w:rPr>
        <w:t>SbN</w:t>
      </w:r>
      <w:proofErr w:type="spellEnd"/>
      <w:r w:rsidRPr="000F7F04">
        <w:rPr>
          <w:rFonts w:ascii="Arial" w:hAnsi="Arial" w:cs="Arial"/>
          <w:sz w:val="24"/>
          <w:szCs w:val="24"/>
        </w:rPr>
        <w:t>, el resto las describe como acciones asociadas a no tirar basura, cuidar la vegetación y no contaminar; mientras que el mayor desconocimiento de concepto fue el del techo verde 202 estudiantes a nivel secundaria.</w:t>
      </w:r>
      <w:r w:rsidR="00A82FCD">
        <w:rPr>
          <w:rFonts w:ascii="Arial" w:hAnsi="Arial" w:cs="Arial"/>
          <w:sz w:val="24"/>
          <w:szCs w:val="24"/>
        </w:rPr>
        <w:t xml:space="preserve"> </w:t>
      </w:r>
      <w:r>
        <w:rPr>
          <w:rFonts w:ascii="Arial" w:hAnsi="Arial" w:cs="Arial"/>
          <w:sz w:val="24"/>
          <w:szCs w:val="24"/>
        </w:rPr>
        <w:t xml:space="preserve">A partir de estos resultados se plantea el contenido del taller interactivo de la siguiente manera: </w:t>
      </w:r>
    </w:p>
    <w:p w14:paraId="2FD9AEE0" w14:textId="77777777" w:rsidR="000330A7" w:rsidRDefault="001129D8" w:rsidP="002770E8">
      <w:pPr>
        <w:pStyle w:val="Prrafodelista"/>
        <w:numPr>
          <w:ilvl w:val="0"/>
          <w:numId w:val="6"/>
        </w:numPr>
        <w:spacing w:line="360" w:lineRule="auto"/>
        <w:jc w:val="both"/>
        <w:rPr>
          <w:rFonts w:ascii="Arial" w:hAnsi="Arial" w:cs="Arial"/>
          <w:sz w:val="24"/>
          <w:szCs w:val="24"/>
        </w:rPr>
      </w:pPr>
      <w:proofErr w:type="spellStart"/>
      <w:r w:rsidRPr="000330A7">
        <w:rPr>
          <w:rFonts w:ascii="Arial" w:hAnsi="Arial" w:cs="Arial"/>
          <w:sz w:val="24"/>
          <w:szCs w:val="24"/>
        </w:rPr>
        <w:t>Explicar</w:t>
      </w:r>
      <w:proofErr w:type="spellEnd"/>
      <w:r w:rsidRPr="000330A7">
        <w:rPr>
          <w:rFonts w:ascii="Arial" w:hAnsi="Arial" w:cs="Arial"/>
          <w:sz w:val="24"/>
          <w:szCs w:val="24"/>
        </w:rPr>
        <w:t xml:space="preserve"> </w:t>
      </w:r>
      <w:proofErr w:type="spellStart"/>
      <w:r w:rsidRPr="000330A7">
        <w:rPr>
          <w:rFonts w:ascii="Arial" w:hAnsi="Arial" w:cs="Arial"/>
          <w:sz w:val="24"/>
          <w:szCs w:val="24"/>
        </w:rPr>
        <w:t>los</w:t>
      </w:r>
      <w:proofErr w:type="spellEnd"/>
      <w:r w:rsidRPr="000330A7">
        <w:rPr>
          <w:rFonts w:ascii="Arial" w:hAnsi="Arial" w:cs="Arial"/>
          <w:sz w:val="24"/>
          <w:szCs w:val="24"/>
        </w:rPr>
        <w:t xml:space="preserve"> </w:t>
      </w:r>
      <w:proofErr w:type="spellStart"/>
      <w:r w:rsidRPr="000330A7">
        <w:rPr>
          <w:rFonts w:ascii="Arial" w:hAnsi="Arial" w:cs="Arial"/>
          <w:sz w:val="24"/>
          <w:szCs w:val="24"/>
        </w:rPr>
        <w:t>conceptos</w:t>
      </w:r>
      <w:proofErr w:type="spellEnd"/>
      <w:r w:rsidRPr="000330A7">
        <w:rPr>
          <w:rFonts w:ascii="Arial" w:hAnsi="Arial" w:cs="Arial"/>
          <w:sz w:val="24"/>
          <w:szCs w:val="24"/>
        </w:rPr>
        <w:t xml:space="preserve">: </w:t>
      </w:r>
    </w:p>
    <w:p w14:paraId="48773FDD" w14:textId="2CFAE2C0" w:rsidR="000F7F04" w:rsidRPr="000330A7" w:rsidRDefault="007C777B" w:rsidP="000330A7">
      <w:pPr>
        <w:pStyle w:val="Prrafodelista"/>
        <w:numPr>
          <w:ilvl w:val="1"/>
          <w:numId w:val="6"/>
        </w:numPr>
        <w:spacing w:line="360" w:lineRule="auto"/>
        <w:jc w:val="both"/>
        <w:rPr>
          <w:rFonts w:ascii="Arial" w:hAnsi="Arial" w:cs="Arial"/>
          <w:sz w:val="24"/>
          <w:szCs w:val="24"/>
        </w:rPr>
      </w:pPr>
      <w:proofErr w:type="spellStart"/>
      <w:r w:rsidRPr="000330A7">
        <w:rPr>
          <w:rFonts w:ascii="Arial" w:hAnsi="Arial" w:cs="Arial"/>
          <w:sz w:val="24"/>
          <w:szCs w:val="24"/>
        </w:rPr>
        <w:t>Área</w:t>
      </w:r>
      <w:proofErr w:type="spellEnd"/>
      <w:r w:rsidR="001129D8" w:rsidRPr="000330A7">
        <w:rPr>
          <w:rFonts w:ascii="Arial" w:hAnsi="Arial" w:cs="Arial"/>
          <w:sz w:val="24"/>
          <w:szCs w:val="24"/>
        </w:rPr>
        <w:t xml:space="preserve"> </w:t>
      </w:r>
      <w:proofErr w:type="spellStart"/>
      <w:r w:rsidR="001129D8" w:rsidRPr="000330A7">
        <w:rPr>
          <w:rFonts w:ascii="Arial" w:hAnsi="Arial" w:cs="Arial"/>
          <w:sz w:val="24"/>
          <w:szCs w:val="24"/>
        </w:rPr>
        <w:t>verde</w:t>
      </w:r>
      <w:proofErr w:type="spellEnd"/>
      <w:r w:rsidRPr="000330A7">
        <w:rPr>
          <w:rFonts w:ascii="Arial" w:hAnsi="Arial" w:cs="Arial"/>
          <w:sz w:val="24"/>
          <w:szCs w:val="24"/>
        </w:rPr>
        <w:t xml:space="preserve"> </w:t>
      </w:r>
      <w:proofErr w:type="spellStart"/>
      <w:r w:rsidRPr="000330A7">
        <w:rPr>
          <w:rFonts w:ascii="Arial" w:hAnsi="Arial" w:cs="Arial"/>
          <w:sz w:val="24"/>
          <w:szCs w:val="24"/>
        </w:rPr>
        <w:t>urbana</w:t>
      </w:r>
      <w:proofErr w:type="spellEnd"/>
    </w:p>
    <w:p w14:paraId="4589207D" w14:textId="768BACB1" w:rsidR="007C777B" w:rsidRDefault="007C777B" w:rsidP="000330A7">
      <w:pPr>
        <w:pStyle w:val="Prrafodelista"/>
        <w:numPr>
          <w:ilvl w:val="1"/>
          <w:numId w:val="6"/>
        </w:numPr>
        <w:spacing w:line="360" w:lineRule="auto"/>
        <w:jc w:val="both"/>
        <w:rPr>
          <w:rFonts w:ascii="Arial" w:hAnsi="Arial" w:cs="Arial"/>
          <w:sz w:val="24"/>
          <w:szCs w:val="24"/>
        </w:rPr>
      </w:pPr>
      <w:proofErr w:type="spellStart"/>
      <w:r>
        <w:rPr>
          <w:rFonts w:ascii="Arial" w:hAnsi="Arial" w:cs="Arial"/>
          <w:sz w:val="24"/>
          <w:szCs w:val="24"/>
        </w:rPr>
        <w:t>Solución</w:t>
      </w:r>
      <w:proofErr w:type="spellEnd"/>
      <w:r>
        <w:rPr>
          <w:rFonts w:ascii="Arial" w:hAnsi="Arial" w:cs="Arial"/>
          <w:sz w:val="24"/>
          <w:szCs w:val="24"/>
        </w:rPr>
        <w:t xml:space="preserve"> </w:t>
      </w:r>
      <w:proofErr w:type="spellStart"/>
      <w:r>
        <w:rPr>
          <w:rFonts w:ascii="Arial" w:hAnsi="Arial" w:cs="Arial"/>
          <w:sz w:val="24"/>
          <w:szCs w:val="24"/>
        </w:rPr>
        <w:t>basada</w:t>
      </w:r>
      <w:proofErr w:type="spellEnd"/>
      <w:r>
        <w:rPr>
          <w:rFonts w:ascii="Arial" w:hAnsi="Arial" w:cs="Arial"/>
          <w:sz w:val="24"/>
          <w:szCs w:val="24"/>
        </w:rPr>
        <w:t xml:space="preserve"> </w:t>
      </w:r>
      <w:proofErr w:type="spellStart"/>
      <w:r>
        <w:rPr>
          <w:rFonts w:ascii="Arial" w:hAnsi="Arial" w:cs="Arial"/>
          <w:sz w:val="24"/>
          <w:szCs w:val="24"/>
        </w:rPr>
        <w:t>en</w:t>
      </w:r>
      <w:proofErr w:type="spellEnd"/>
      <w:r>
        <w:rPr>
          <w:rFonts w:ascii="Arial" w:hAnsi="Arial" w:cs="Arial"/>
          <w:sz w:val="24"/>
          <w:szCs w:val="24"/>
        </w:rPr>
        <w:t xml:space="preserve"> la </w:t>
      </w:r>
      <w:proofErr w:type="spellStart"/>
      <w:r>
        <w:rPr>
          <w:rFonts w:ascii="Arial" w:hAnsi="Arial" w:cs="Arial"/>
          <w:sz w:val="24"/>
          <w:szCs w:val="24"/>
        </w:rPr>
        <w:t>naturaleza</w:t>
      </w:r>
      <w:proofErr w:type="spellEnd"/>
    </w:p>
    <w:p w14:paraId="5BEEE1A5" w14:textId="1F44AF17" w:rsidR="007C777B" w:rsidRDefault="007C777B" w:rsidP="000330A7">
      <w:pPr>
        <w:pStyle w:val="Prrafodelista"/>
        <w:numPr>
          <w:ilvl w:val="1"/>
          <w:numId w:val="6"/>
        </w:numPr>
        <w:spacing w:line="360" w:lineRule="auto"/>
        <w:jc w:val="both"/>
        <w:rPr>
          <w:rFonts w:ascii="Arial" w:hAnsi="Arial" w:cs="Arial"/>
          <w:sz w:val="24"/>
          <w:szCs w:val="24"/>
        </w:rPr>
      </w:pPr>
      <w:proofErr w:type="spellStart"/>
      <w:r>
        <w:rPr>
          <w:rFonts w:ascii="Arial" w:hAnsi="Arial" w:cs="Arial"/>
          <w:sz w:val="24"/>
          <w:szCs w:val="24"/>
        </w:rPr>
        <w:t>Techo</w:t>
      </w:r>
      <w:proofErr w:type="spellEnd"/>
      <w:r>
        <w:rPr>
          <w:rFonts w:ascii="Arial" w:hAnsi="Arial" w:cs="Arial"/>
          <w:sz w:val="24"/>
          <w:szCs w:val="24"/>
        </w:rPr>
        <w:t xml:space="preserve"> </w:t>
      </w:r>
      <w:proofErr w:type="spellStart"/>
      <w:r>
        <w:rPr>
          <w:rFonts w:ascii="Arial" w:hAnsi="Arial" w:cs="Arial"/>
          <w:sz w:val="24"/>
          <w:szCs w:val="24"/>
        </w:rPr>
        <w:t>verde</w:t>
      </w:r>
      <w:proofErr w:type="spellEnd"/>
    </w:p>
    <w:p w14:paraId="3D635199" w14:textId="4220C14E" w:rsidR="00455ED8" w:rsidRDefault="00455ED8" w:rsidP="000330A7">
      <w:pPr>
        <w:pStyle w:val="Prrafodelista"/>
        <w:numPr>
          <w:ilvl w:val="1"/>
          <w:numId w:val="6"/>
        </w:numPr>
        <w:spacing w:line="360" w:lineRule="auto"/>
        <w:jc w:val="both"/>
        <w:rPr>
          <w:rFonts w:ascii="Arial" w:hAnsi="Arial" w:cs="Arial"/>
          <w:sz w:val="24"/>
          <w:szCs w:val="24"/>
        </w:rPr>
      </w:pPr>
      <w:proofErr w:type="spellStart"/>
      <w:r>
        <w:rPr>
          <w:rFonts w:ascii="Arial" w:hAnsi="Arial" w:cs="Arial"/>
          <w:sz w:val="24"/>
          <w:szCs w:val="24"/>
        </w:rPr>
        <w:t>Tipos</w:t>
      </w:r>
      <w:proofErr w:type="spellEnd"/>
      <w:r>
        <w:rPr>
          <w:rFonts w:ascii="Arial" w:hAnsi="Arial" w:cs="Arial"/>
          <w:sz w:val="24"/>
          <w:szCs w:val="24"/>
        </w:rPr>
        <w:t xml:space="preserve"> de </w:t>
      </w:r>
      <w:proofErr w:type="spellStart"/>
      <w:r>
        <w:rPr>
          <w:rFonts w:ascii="Arial" w:hAnsi="Arial" w:cs="Arial"/>
          <w:sz w:val="24"/>
          <w:szCs w:val="24"/>
        </w:rPr>
        <w:t>techo</w:t>
      </w:r>
      <w:proofErr w:type="spellEnd"/>
      <w:r>
        <w:rPr>
          <w:rFonts w:ascii="Arial" w:hAnsi="Arial" w:cs="Arial"/>
          <w:sz w:val="24"/>
          <w:szCs w:val="24"/>
        </w:rPr>
        <w:t xml:space="preserve"> </w:t>
      </w:r>
      <w:proofErr w:type="spellStart"/>
      <w:r>
        <w:rPr>
          <w:rFonts w:ascii="Arial" w:hAnsi="Arial" w:cs="Arial"/>
          <w:sz w:val="24"/>
          <w:szCs w:val="24"/>
        </w:rPr>
        <w:t>verde</w:t>
      </w:r>
      <w:proofErr w:type="spellEnd"/>
      <w:r>
        <w:rPr>
          <w:rFonts w:ascii="Arial" w:hAnsi="Arial" w:cs="Arial"/>
          <w:sz w:val="24"/>
          <w:szCs w:val="24"/>
        </w:rPr>
        <w:t xml:space="preserve"> </w:t>
      </w:r>
    </w:p>
    <w:p w14:paraId="31ED4CAA" w14:textId="7D55F34C" w:rsidR="00455ED8" w:rsidRDefault="00455ED8" w:rsidP="000330A7">
      <w:pPr>
        <w:pStyle w:val="Prrafodelista"/>
        <w:numPr>
          <w:ilvl w:val="1"/>
          <w:numId w:val="6"/>
        </w:numPr>
        <w:spacing w:line="360" w:lineRule="auto"/>
        <w:jc w:val="both"/>
        <w:rPr>
          <w:rFonts w:ascii="Arial" w:hAnsi="Arial" w:cs="Arial"/>
          <w:sz w:val="24"/>
          <w:szCs w:val="24"/>
        </w:rPr>
      </w:pPr>
      <w:proofErr w:type="spellStart"/>
      <w:r>
        <w:rPr>
          <w:rFonts w:ascii="Arial" w:hAnsi="Arial" w:cs="Arial"/>
          <w:sz w:val="24"/>
          <w:szCs w:val="24"/>
        </w:rPr>
        <w:t>Beneficios</w:t>
      </w:r>
      <w:proofErr w:type="spellEnd"/>
      <w:r>
        <w:rPr>
          <w:rFonts w:ascii="Arial" w:hAnsi="Arial" w:cs="Arial"/>
          <w:sz w:val="24"/>
          <w:szCs w:val="24"/>
        </w:rPr>
        <w:t xml:space="preserve"> </w:t>
      </w:r>
      <w:r w:rsidR="00AD2E18">
        <w:rPr>
          <w:rFonts w:ascii="Arial" w:hAnsi="Arial" w:cs="Arial"/>
          <w:sz w:val="24"/>
          <w:szCs w:val="24"/>
        </w:rPr>
        <w:t xml:space="preserve">de la </w:t>
      </w:r>
      <w:proofErr w:type="spellStart"/>
      <w:r w:rsidR="00AD2E18">
        <w:rPr>
          <w:rFonts w:ascii="Arial" w:hAnsi="Arial" w:cs="Arial"/>
          <w:sz w:val="24"/>
          <w:szCs w:val="24"/>
        </w:rPr>
        <w:t>instalación</w:t>
      </w:r>
      <w:proofErr w:type="spellEnd"/>
      <w:r w:rsidR="00AD2E18">
        <w:rPr>
          <w:rFonts w:ascii="Arial" w:hAnsi="Arial" w:cs="Arial"/>
          <w:sz w:val="24"/>
          <w:szCs w:val="24"/>
        </w:rPr>
        <w:t xml:space="preserve"> del </w:t>
      </w:r>
      <w:proofErr w:type="spellStart"/>
      <w:r w:rsidR="00AD2E18">
        <w:rPr>
          <w:rFonts w:ascii="Arial" w:hAnsi="Arial" w:cs="Arial"/>
          <w:sz w:val="24"/>
          <w:szCs w:val="24"/>
        </w:rPr>
        <w:t>techo</w:t>
      </w:r>
      <w:proofErr w:type="spellEnd"/>
      <w:r w:rsidR="00AD2E18">
        <w:rPr>
          <w:rFonts w:ascii="Arial" w:hAnsi="Arial" w:cs="Arial"/>
          <w:sz w:val="24"/>
          <w:szCs w:val="24"/>
        </w:rPr>
        <w:t xml:space="preserve"> </w:t>
      </w:r>
      <w:proofErr w:type="spellStart"/>
      <w:r w:rsidR="00AD2E18">
        <w:rPr>
          <w:rFonts w:ascii="Arial" w:hAnsi="Arial" w:cs="Arial"/>
          <w:sz w:val="24"/>
          <w:szCs w:val="24"/>
        </w:rPr>
        <w:t>verde</w:t>
      </w:r>
      <w:proofErr w:type="spellEnd"/>
    </w:p>
    <w:p w14:paraId="3B26E4B0" w14:textId="533DF2D3" w:rsidR="00AD2E18" w:rsidRDefault="006A143F" w:rsidP="000330A7">
      <w:pPr>
        <w:pStyle w:val="Prrafodelista"/>
        <w:numPr>
          <w:ilvl w:val="0"/>
          <w:numId w:val="6"/>
        </w:numPr>
        <w:spacing w:line="360" w:lineRule="auto"/>
        <w:jc w:val="both"/>
        <w:rPr>
          <w:rFonts w:ascii="Arial" w:hAnsi="Arial" w:cs="Arial"/>
          <w:sz w:val="24"/>
          <w:szCs w:val="24"/>
        </w:rPr>
      </w:pPr>
      <w:r w:rsidRPr="006A143F">
        <w:t xml:space="preserve"> </w:t>
      </w:r>
      <w:r>
        <w:rPr>
          <w:rFonts w:ascii="Arial" w:hAnsi="Arial" w:cs="Arial"/>
          <w:sz w:val="24"/>
          <w:szCs w:val="24"/>
        </w:rPr>
        <w:t xml:space="preserve"> </w:t>
      </w:r>
      <w:r w:rsidR="00AD2E18">
        <w:rPr>
          <w:rFonts w:ascii="Arial" w:hAnsi="Arial" w:cs="Arial"/>
          <w:sz w:val="24"/>
          <w:szCs w:val="24"/>
        </w:rPr>
        <w:t xml:space="preserve">Se </w:t>
      </w:r>
      <w:proofErr w:type="spellStart"/>
      <w:r w:rsidR="00AD2E18">
        <w:rPr>
          <w:rFonts w:ascii="Arial" w:hAnsi="Arial" w:cs="Arial"/>
          <w:sz w:val="24"/>
          <w:szCs w:val="24"/>
        </w:rPr>
        <w:t>diseña</w:t>
      </w:r>
      <w:proofErr w:type="spellEnd"/>
      <w:r w:rsidR="00AD2E18">
        <w:rPr>
          <w:rFonts w:ascii="Arial" w:hAnsi="Arial" w:cs="Arial"/>
          <w:sz w:val="24"/>
          <w:szCs w:val="24"/>
        </w:rPr>
        <w:t xml:space="preserve"> </w:t>
      </w:r>
      <w:proofErr w:type="spellStart"/>
      <w:r w:rsidR="00AD2E18">
        <w:rPr>
          <w:rFonts w:ascii="Arial" w:hAnsi="Arial" w:cs="Arial"/>
          <w:sz w:val="24"/>
          <w:szCs w:val="24"/>
        </w:rPr>
        <w:t>el</w:t>
      </w:r>
      <w:proofErr w:type="spellEnd"/>
      <w:r w:rsidR="00AD2E18">
        <w:rPr>
          <w:rFonts w:ascii="Arial" w:hAnsi="Arial" w:cs="Arial"/>
          <w:sz w:val="24"/>
          <w:szCs w:val="24"/>
        </w:rPr>
        <w:t xml:space="preserve"> </w:t>
      </w:r>
      <w:proofErr w:type="spellStart"/>
      <w:r w:rsidR="00AD2E18">
        <w:rPr>
          <w:rFonts w:ascii="Arial" w:hAnsi="Arial" w:cs="Arial"/>
          <w:sz w:val="24"/>
          <w:szCs w:val="24"/>
        </w:rPr>
        <w:t>siguiente</w:t>
      </w:r>
      <w:proofErr w:type="spellEnd"/>
      <w:r w:rsidR="00AD2E18">
        <w:rPr>
          <w:rFonts w:ascii="Arial" w:hAnsi="Arial" w:cs="Arial"/>
          <w:sz w:val="24"/>
          <w:szCs w:val="24"/>
        </w:rPr>
        <w:t xml:space="preserve"> </w:t>
      </w:r>
      <w:proofErr w:type="spellStart"/>
      <w:r w:rsidR="00AD2E18">
        <w:rPr>
          <w:rFonts w:ascii="Arial" w:hAnsi="Arial" w:cs="Arial"/>
          <w:sz w:val="24"/>
          <w:szCs w:val="24"/>
        </w:rPr>
        <w:t>mapa</w:t>
      </w:r>
      <w:proofErr w:type="spellEnd"/>
      <w:r w:rsidR="00AD2E18">
        <w:rPr>
          <w:rFonts w:ascii="Arial" w:hAnsi="Arial" w:cs="Arial"/>
          <w:sz w:val="24"/>
          <w:szCs w:val="24"/>
        </w:rPr>
        <w:t xml:space="preserve"> mental</w:t>
      </w:r>
      <w:r w:rsidR="00041395">
        <w:rPr>
          <w:rFonts w:ascii="Arial" w:hAnsi="Arial" w:cs="Arial"/>
          <w:sz w:val="24"/>
          <w:szCs w:val="24"/>
        </w:rPr>
        <w:t xml:space="preserve">, </w:t>
      </w:r>
      <w:proofErr w:type="spellStart"/>
      <w:r w:rsidR="00041395">
        <w:rPr>
          <w:rFonts w:ascii="Arial" w:hAnsi="Arial" w:cs="Arial"/>
          <w:sz w:val="24"/>
          <w:szCs w:val="24"/>
        </w:rPr>
        <w:t>como</w:t>
      </w:r>
      <w:proofErr w:type="spellEnd"/>
      <w:r w:rsidR="00041395">
        <w:rPr>
          <w:rFonts w:ascii="Arial" w:hAnsi="Arial" w:cs="Arial"/>
          <w:sz w:val="24"/>
          <w:szCs w:val="24"/>
        </w:rPr>
        <w:t xml:space="preserve"> </w:t>
      </w:r>
      <w:proofErr w:type="spellStart"/>
      <w:r w:rsidR="00041395">
        <w:rPr>
          <w:rFonts w:ascii="Arial" w:hAnsi="Arial" w:cs="Arial"/>
          <w:sz w:val="24"/>
          <w:szCs w:val="24"/>
        </w:rPr>
        <w:t>apoyo</w:t>
      </w:r>
      <w:proofErr w:type="spellEnd"/>
      <w:r w:rsidR="00041395">
        <w:rPr>
          <w:rFonts w:ascii="Arial" w:hAnsi="Arial" w:cs="Arial"/>
          <w:sz w:val="24"/>
          <w:szCs w:val="24"/>
        </w:rPr>
        <w:t xml:space="preserve"> visual al taller</w:t>
      </w:r>
      <w:r w:rsidR="00AD2E18">
        <w:rPr>
          <w:rFonts w:ascii="Arial" w:hAnsi="Arial" w:cs="Arial"/>
          <w:sz w:val="24"/>
          <w:szCs w:val="24"/>
        </w:rPr>
        <w:t>:</w:t>
      </w:r>
    </w:p>
    <w:p w14:paraId="403D4BE9" w14:textId="77777777" w:rsidR="006A143F" w:rsidRDefault="006A143F" w:rsidP="006A143F">
      <w:pPr>
        <w:pStyle w:val="Prrafodelista"/>
        <w:keepNext/>
        <w:ind w:left="426"/>
        <w:jc w:val="both"/>
      </w:pPr>
      <w:r>
        <w:rPr>
          <w:noProof/>
        </w:rPr>
        <w:lastRenderedPageBreak/>
        <w:drawing>
          <wp:inline distT="0" distB="0" distL="0" distR="0" wp14:anchorId="53C6B50F" wp14:editId="6BED1E74">
            <wp:extent cx="5612130" cy="3157855"/>
            <wp:effectExtent l="0" t="0" r="7620" b="4445"/>
            <wp:docPr id="1317854100"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54100" name="Imagen 5" descr="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57855"/>
                    </a:xfrm>
                    <a:prstGeom prst="rect">
                      <a:avLst/>
                    </a:prstGeom>
                    <a:noFill/>
                    <a:ln>
                      <a:noFill/>
                    </a:ln>
                  </pic:spPr>
                </pic:pic>
              </a:graphicData>
            </a:graphic>
          </wp:inline>
        </w:drawing>
      </w:r>
    </w:p>
    <w:p w14:paraId="59191F93" w14:textId="75087D6A" w:rsidR="00041395" w:rsidRDefault="006A143F" w:rsidP="006A143F">
      <w:pPr>
        <w:pStyle w:val="Descripcin"/>
        <w:jc w:val="center"/>
        <w:rPr>
          <w:rFonts w:ascii="Arial" w:hAnsi="Arial" w:cs="Arial"/>
          <w:sz w:val="24"/>
          <w:szCs w:val="24"/>
        </w:rPr>
      </w:pPr>
      <w:r w:rsidRPr="006A143F">
        <w:rPr>
          <w:rFonts w:ascii="Arial" w:hAnsi="Arial" w:cs="Arial"/>
          <w:b/>
          <w:bCs/>
          <w:i w:val="0"/>
          <w:iCs w:val="0"/>
          <w:color w:val="auto"/>
          <w:sz w:val="20"/>
          <w:szCs w:val="20"/>
        </w:rPr>
        <w:t xml:space="preserve">Figura </w:t>
      </w:r>
      <w:r w:rsidRPr="006A143F">
        <w:rPr>
          <w:rFonts w:ascii="Arial" w:hAnsi="Arial" w:cs="Arial"/>
          <w:b/>
          <w:bCs/>
          <w:i w:val="0"/>
          <w:iCs w:val="0"/>
          <w:color w:val="auto"/>
          <w:sz w:val="20"/>
          <w:szCs w:val="20"/>
        </w:rPr>
        <w:fldChar w:fldCharType="begin"/>
      </w:r>
      <w:r w:rsidRPr="006A143F">
        <w:rPr>
          <w:rFonts w:ascii="Arial" w:hAnsi="Arial" w:cs="Arial"/>
          <w:b/>
          <w:bCs/>
          <w:i w:val="0"/>
          <w:iCs w:val="0"/>
          <w:color w:val="auto"/>
          <w:sz w:val="20"/>
          <w:szCs w:val="20"/>
        </w:rPr>
        <w:instrText xml:space="preserve"> SEQ Figura \* ARABIC </w:instrText>
      </w:r>
      <w:r w:rsidRPr="006A143F">
        <w:rPr>
          <w:rFonts w:ascii="Arial" w:hAnsi="Arial" w:cs="Arial"/>
          <w:b/>
          <w:bCs/>
          <w:i w:val="0"/>
          <w:iCs w:val="0"/>
          <w:color w:val="auto"/>
          <w:sz w:val="20"/>
          <w:szCs w:val="20"/>
        </w:rPr>
        <w:fldChar w:fldCharType="separate"/>
      </w:r>
      <w:r w:rsidR="00936848">
        <w:rPr>
          <w:rFonts w:ascii="Arial" w:hAnsi="Arial" w:cs="Arial"/>
          <w:b/>
          <w:bCs/>
          <w:i w:val="0"/>
          <w:iCs w:val="0"/>
          <w:noProof/>
          <w:color w:val="auto"/>
          <w:sz w:val="20"/>
          <w:szCs w:val="20"/>
        </w:rPr>
        <w:t>3</w:t>
      </w:r>
      <w:r w:rsidRPr="006A143F">
        <w:rPr>
          <w:rFonts w:ascii="Arial" w:hAnsi="Arial" w:cs="Arial"/>
          <w:b/>
          <w:bCs/>
          <w:i w:val="0"/>
          <w:iCs w:val="0"/>
          <w:color w:val="auto"/>
          <w:sz w:val="20"/>
          <w:szCs w:val="20"/>
        </w:rPr>
        <w:fldChar w:fldCharType="end"/>
      </w:r>
      <w:r w:rsidRPr="006A143F">
        <w:rPr>
          <w:rFonts w:ascii="Arial" w:hAnsi="Arial" w:cs="Arial"/>
          <w:b/>
          <w:bCs/>
          <w:i w:val="0"/>
          <w:iCs w:val="0"/>
          <w:color w:val="auto"/>
          <w:sz w:val="20"/>
          <w:szCs w:val="20"/>
        </w:rPr>
        <w:t>.</w:t>
      </w:r>
      <w:r>
        <w:t xml:space="preserve"> </w:t>
      </w:r>
      <w:r w:rsidRPr="006A143F">
        <w:rPr>
          <w:rFonts w:ascii="Arial" w:hAnsi="Arial" w:cs="Arial"/>
          <w:i w:val="0"/>
          <w:iCs w:val="0"/>
          <w:color w:val="auto"/>
          <w:sz w:val="20"/>
          <w:szCs w:val="20"/>
        </w:rPr>
        <w:t>Mapa mental para taller interactivo</w:t>
      </w:r>
    </w:p>
    <w:p w14:paraId="016A25CD" w14:textId="33CAB434" w:rsidR="00041395" w:rsidRDefault="00BD1036" w:rsidP="000330A7">
      <w:pPr>
        <w:pStyle w:val="Prrafodelista"/>
        <w:numPr>
          <w:ilvl w:val="0"/>
          <w:numId w:val="6"/>
        </w:numPr>
        <w:spacing w:line="360" w:lineRule="auto"/>
        <w:jc w:val="both"/>
        <w:rPr>
          <w:rFonts w:ascii="Arial" w:hAnsi="Arial" w:cs="Arial"/>
          <w:sz w:val="24"/>
          <w:szCs w:val="24"/>
        </w:rPr>
      </w:pPr>
      <w:proofErr w:type="spellStart"/>
      <w:r>
        <w:rPr>
          <w:rFonts w:ascii="Arial" w:hAnsi="Arial" w:cs="Arial"/>
          <w:sz w:val="24"/>
          <w:szCs w:val="24"/>
        </w:rPr>
        <w:t>Presentar</w:t>
      </w:r>
      <w:proofErr w:type="spellEnd"/>
      <w:r>
        <w:rPr>
          <w:rFonts w:ascii="Arial" w:hAnsi="Arial" w:cs="Arial"/>
          <w:sz w:val="24"/>
          <w:szCs w:val="24"/>
        </w:rPr>
        <w:t xml:space="preserve"> la </w:t>
      </w:r>
      <w:proofErr w:type="spellStart"/>
      <w:r>
        <w:rPr>
          <w:rFonts w:ascii="Arial" w:hAnsi="Arial" w:cs="Arial"/>
          <w:sz w:val="24"/>
          <w:szCs w:val="24"/>
        </w:rPr>
        <w:t>herramienta</w:t>
      </w:r>
      <w:proofErr w:type="spellEnd"/>
      <w:r>
        <w:rPr>
          <w:rFonts w:ascii="Arial" w:hAnsi="Arial" w:cs="Arial"/>
          <w:sz w:val="24"/>
          <w:szCs w:val="24"/>
        </w:rPr>
        <w:t xml:space="preserve"> audiovisual</w:t>
      </w:r>
      <w:r w:rsidRPr="00BD1036">
        <w:rPr>
          <w:rFonts w:ascii="Arial" w:hAnsi="Arial" w:cs="Arial"/>
          <w:sz w:val="24"/>
          <w:szCs w:val="24"/>
        </w:rPr>
        <w:t xml:space="preserve"> </w:t>
      </w:r>
      <w:r w:rsidRPr="000E6498">
        <w:rPr>
          <w:rFonts w:ascii="Arial" w:hAnsi="Arial" w:cs="Arial"/>
          <w:sz w:val="24"/>
          <w:szCs w:val="24"/>
        </w:rPr>
        <w:t xml:space="preserve">con </w:t>
      </w:r>
      <w:proofErr w:type="spellStart"/>
      <w:r w:rsidRPr="000E6498">
        <w:rPr>
          <w:rFonts w:ascii="Arial" w:hAnsi="Arial" w:cs="Arial"/>
          <w:sz w:val="24"/>
          <w:szCs w:val="24"/>
        </w:rPr>
        <w:t>duración</w:t>
      </w:r>
      <w:proofErr w:type="spellEnd"/>
      <w:r w:rsidRPr="000E6498">
        <w:rPr>
          <w:rFonts w:ascii="Arial" w:hAnsi="Arial" w:cs="Arial"/>
          <w:sz w:val="24"/>
          <w:szCs w:val="24"/>
        </w:rPr>
        <w:t xml:space="preserve"> de 02:18min</w:t>
      </w:r>
      <w:r>
        <w:rPr>
          <w:rFonts w:ascii="Arial" w:hAnsi="Arial" w:cs="Arial"/>
          <w:sz w:val="24"/>
          <w:szCs w:val="24"/>
        </w:rPr>
        <w:t xml:space="preserve">, </w:t>
      </w:r>
      <w:proofErr w:type="spellStart"/>
      <w:r>
        <w:rPr>
          <w:rFonts w:ascii="Arial" w:hAnsi="Arial" w:cs="Arial"/>
          <w:sz w:val="24"/>
          <w:szCs w:val="24"/>
        </w:rPr>
        <w:t>creada</w:t>
      </w:r>
      <w:proofErr w:type="spellEnd"/>
      <w:r>
        <w:rPr>
          <w:rFonts w:ascii="Arial" w:hAnsi="Arial" w:cs="Arial"/>
          <w:sz w:val="24"/>
          <w:szCs w:val="24"/>
        </w:rPr>
        <w:t xml:space="preserve"> a </w:t>
      </w:r>
      <w:proofErr w:type="spellStart"/>
      <w:r>
        <w:rPr>
          <w:rFonts w:ascii="Arial" w:hAnsi="Arial" w:cs="Arial"/>
          <w:sz w:val="24"/>
          <w:szCs w:val="24"/>
        </w:rPr>
        <w:t>partir</w:t>
      </w:r>
      <w:proofErr w:type="spellEnd"/>
      <w:r>
        <w:rPr>
          <w:rFonts w:ascii="Arial" w:hAnsi="Arial" w:cs="Arial"/>
          <w:sz w:val="24"/>
          <w:szCs w:val="24"/>
        </w:rPr>
        <w:t xml:space="preserve"> </w:t>
      </w:r>
      <w:r w:rsidR="006214D2" w:rsidRPr="000E6498">
        <w:rPr>
          <w:rFonts w:ascii="Arial" w:hAnsi="Arial" w:cs="Arial"/>
          <w:sz w:val="24"/>
          <w:szCs w:val="24"/>
        </w:rPr>
        <w:t xml:space="preserve">de </w:t>
      </w:r>
      <w:proofErr w:type="spellStart"/>
      <w:r w:rsidR="006214D2" w:rsidRPr="000E6498">
        <w:rPr>
          <w:rFonts w:ascii="Arial" w:hAnsi="Arial" w:cs="Arial"/>
          <w:sz w:val="24"/>
          <w:szCs w:val="24"/>
        </w:rPr>
        <w:t>los</w:t>
      </w:r>
      <w:proofErr w:type="spellEnd"/>
      <w:r w:rsidR="006214D2" w:rsidRPr="000E6498">
        <w:rPr>
          <w:rFonts w:ascii="Arial" w:hAnsi="Arial" w:cs="Arial"/>
          <w:sz w:val="24"/>
          <w:szCs w:val="24"/>
        </w:rPr>
        <w:t xml:space="preserve"> videos </w:t>
      </w:r>
      <w:proofErr w:type="spellStart"/>
      <w:r w:rsidR="006214D2" w:rsidRPr="000E6498">
        <w:rPr>
          <w:rFonts w:ascii="Arial" w:hAnsi="Arial" w:cs="Arial"/>
          <w:sz w:val="24"/>
          <w:szCs w:val="24"/>
        </w:rPr>
        <w:t>tomados</w:t>
      </w:r>
      <w:proofErr w:type="spellEnd"/>
      <w:r w:rsidR="006214D2" w:rsidRPr="000E6498">
        <w:rPr>
          <w:rFonts w:ascii="Arial" w:hAnsi="Arial" w:cs="Arial"/>
          <w:sz w:val="24"/>
          <w:szCs w:val="24"/>
        </w:rPr>
        <w:t xml:space="preserve"> </w:t>
      </w:r>
      <w:proofErr w:type="spellStart"/>
      <w:r w:rsidR="006214D2" w:rsidRPr="000E6498">
        <w:rPr>
          <w:rFonts w:ascii="Arial" w:hAnsi="Arial" w:cs="Arial"/>
          <w:sz w:val="24"/>
          <w:szCs w:val="24"/>
        </w:rPr>
        <w:t>los</w:t>
      </w:r>
      <w:proofErr w:type="spellEnd"/>
      <w:r w:rsidR="006214D2" w:rsidRPr="000E6498">
        <w:rPr>
          <w:rFonts w:ascii="Arial" w:hAnsi="Arial" w:cs="Arial"/>
          <w:sz w:val="24"/>
          <w:szCs w:val="24"/>
        </w:rPr>
        <w:t xml:space="preserve"> días de la </w:t>
      </w:r>
      <w:proofErr w:type="spellStart"/>
      <w:r w:rsidR="006214D2" w:rsidRPr="000E6498">
        <w:rPr>
          <w:rFonts w:ascii="Arial" w:hAnsi="Arial" w:cs="Arial"/>
          <w:sz w:val="24"/>
          <w:szCs w:val="24"/>
        </w:rPr>
        <w:t>instalación</w:t>
      </w:r>
      <w:proofErr w:type="spellEnd"/>
      <w:r w:rsidR="006214D2" w:rsidRPr="000E6498">
        <w:rPr>
          <w:rFonts w:ascii="Arial" w:hAnsi="Arial" w:cs="Arial"/>
          <w:sz w:val="24"/>
          <w:szCs w:val="24"/>
        </w:rPr>
        <w:t xml:space="preserve"> del </w:t>
      </w:r>
      <w:r>
        <w:rPr>
          <w:rFonts w:ascii="Arial" w:hAnsi="Arial" w:cs="Arial"/>
          <w:sz w:val="24"/>
          <w:szCs w:val="24"/>
        </w:rPr>
        <w:t>TVLE:</w:t>
      </w:r>
    </w:p>
    <w:p w14:paraId="47C498C8" w14:textId="00953410" w:rsidR="006A143F" w:rsidRPr="006A143F" w:rsidRDefault="006A143F" w:rsidP="006A143F">
      <w:pPr>
        <w:pStyle w:val="Prrafodelista"/>
        <w:rPr>
          <w:rFonts w:ascii="Arial" w:hAnsi="Arial" w:cs="Arial"/>
          <w:sz w:val="24"/>
          <w:szCs w:val="24"/>
        </w:rPr>
      </w:pPr>
    </w:p>
    <w:p w14:paraId="1767CAF9" w14:textId="106CCF7F" w:rsidR="006A143F" w:rsidRPr="000E6498" w:rsidRDefault="006A143F" w:rsidP="006A143F">
      <w:pPr>
        <w:pStyle w:val="Prrafodelista"/>
        <w:spacing w:line="360" w:lineRule="auto"/>
        <w:jc w:val="both"/>
        <w:rPr>
          <w:rFonts w:ascii="Arial" w:hAnsi="Arial" w:cs="Arial"/>
          <w:sz w:val="24"/>
          <w:szCs w:val="24"/>
        </w:rPr>
      </w:pPr>
    </w:p>
    <w:p w14:paraId="6DCD33F1" w14:textId="21A0CF75" w:rsidR="00936848" w:rsidRDefault="0070375E" w:rsidP="00936848">
      <w:pPr>
        <w:pStyle w:val="Prrafodelista"/>
        <w:keepNext/>
        <w:jc w:val="center"/>
      </w:pPr>
      <w:r>
        <w:rPr>
          <w:noProof/>
        </w:rPr>
        <w:drawing>
          <wp:inline distT="0" distB="0" distL="0" distR="0" wp14:anchorId="33B740CF" wp14:editId="5E63004A">
            <wp:extent cx="1533525" cy="1905000"/>
            <wp:effectExtent l="0" t="0" r="9525" b="0"/>
            <wp:docPr id="1411258780"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58780" name="Imagen 1" descr="Interfaz de usuario gráfica, Aplicación, Sitio web&#10;&#10;Descripción generada automáticamente"/>
                    <pic:cNvPicPr/>
                  </pic:nvPicPr>
                  <pic:blipFill rotWithShape="1">
                    <a:blip r:embed="rId9"/>
                    <a:srcRect l="34793" t="3320" r="30244"/>
                    <a:stretch/>
                  </pic:blipFill>
                  <pic:spPr bwMode="auto">
                    <a:xfrm>
                      <a:off x="0" y="0"/>
                      <a:ext cx="1533525" cy="1905000"/>
                    </a:xfrm>
                    <a:prstGeom prst="rect">
                      <a:avLst/>
                    </a:prstGeom>
                    <a:ln>
                      <a:noFill/>
                    </a:ln>
                    <a:extLst>
                      <a:ext uri="{53640926-AAD7-44D8-BBD7-CCE9431645EC}">
                        <a14:shadowObscured xmlns:a14="http://schemas.microsoft.com/office/drawing/2010/main"/>
                      </a:ext>
                    </a:extLst>
                  </pic:spPr>
                </pic:pic>
              </a:graphicData>
            </a:graphic>
          </wp:inline>
        </w:drawing>
      </w:r>
      <w:r w:rsidR="00936848" w:rsidRPr="00936848">
        <w:rPr>
          <w:noProof/>
        </w:rPr>
        <w:t xml:space="preserve"> </w:t>
      </w:r>
      <w:r w:rsidR="00936848">
        <w:rPr>
          <w:noProof/>
        </w:rPr>
        <w:drawing>
          <wp:inline distT="0" distB="0" distL="0" distR="0" wp14:anchorId="7CD76BF0" wp14:editId="6F54C1EF">
            <wp:extent cx="1323975" cy="1904202"/>
            <wp:effectExtent l="0" t="0" r="0" b="1270"/>
            <wp:docPr id="1940772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72906" name=""/>
                    <pic:cNvPicPr/>
                  </pic:nvPicPr>
                  <pic:blipFill rotWithShape="1">
                    <a:blip r:embed="rId10"/>
                    <a:srcRect l="34623" t="3924" r="31602"/>
                    <a:stretch/>
                  </pic:blipFill>
                  <pic:spPr bwMode="auto">
                    <a:xfrm>
                      <a:off x="0" y="0"/>
                      <a:ext cx="1327071" cy="1908654"/>
                    </a:xfrm>
                    <a:prstGeom prst="rect">
                      <a:avLst/>
                    </a:prstGeom>
                    <a:ln>
                      <a:noFill/>
                    </a:ln>
                    <a:extLst>
                      <a:ext uri="{53640926-AAD7-44D8-BBD7-CCE9431645EC}">
                        <a14:shadowObscured xmlns:a14="http://schemas.microsoft.com/office/drawing/2010/main"/>
                      </a:ext>
                    </a:extLst>
                  </pic:spPr>
                </pic:pic>
              </a:graphicData>
            </a:graphic>
          </wp:inline>
        </w:drawing>
      </w:r>
    </w:p>
    <w:p w14:paraId="744EA726" w14:textId="0B08B16C" w:rsidR="00936848" w:rsidRPr="00936848" w:rsidRDefault="00936848" w:rsidP="00936848">
      <w:pPr>
        <w:pStyle w:val="Descripcin"/>
        <w:jc w:val="center"/>
        <w:rPr>
          <w:rFonts w:ascii="Arial" w:hAnsi="Arial" w:cs="Arial"/>
          <w:i w:val="0"/>
          <w:iCs w:val="0"/>
          <w:color w:val="auto"/>
          <w:sz w:val="20"/>
          <w:szCs w:val="20"/>
        </w:rPr>
      </w:pPr>
      <w:r w:rsidRPr="00936848">
        <w:rPr>
          <w:rFonts w:ascii="Arial" w:hAnsi="Arial" w:cs="Arial"/>
          <w:b/>
          <w:bCs/>
          <w:i w:val="0"/>
          <w:iCs w:val="0"/>
          <w:color w:val="auto"/>
          <w:sz w:val="20"/>
          <w:szCs w:val="20"/>
        </w:rPr>
        <w:t xml:space="preserve">Figura </w:t>
      </w:r>
      <w:r w:rsidRPr="00936848">
        <w:rPr>
          <w:rFonts w:ascii="Arial" w:hAnsi="Arial" w:cs="Arial"/>
          <w:b/>
          <w:bCs/>
          <w:i w:val="0"/>
          <w:iCs w:val="0"/>
          <w:color w:val="auto"/>
          <w:sz w:val="20"/>
          <w:szCs w:val="20"/>
        </w:rPr>
        <w:fldChar w:fldCharType="begin"/>
      </w:r>
      <w:r w:rsidRPr="00936848">
        <w:rPr>
          <w:rFonts w:ascii="Arial" w:hAnsi="Arial" w:cs="Arial"/>
          <w:b/>
          <w:bCs/>
          <w:i w:val="0"/>
          <w:iCs w:val="0"/>
          <w:color w:val="auto"/>
          <w:sz w:val="20"/>
          <w:szCs w:val="20"/>
        </w:rPr>
        <w:instrText xml:space="preserve"> SEQ Figura \* ARABIC </w:instrText>
      </w:r>
      <w:r w:rsidRPr="00936848">
        <w:rPr>
          <w:rFonts w:ascii="Arial" w:hAnsi="Arial" w:cs="Arial"/>
          <w:b/>
          <w:bCs/>
          <w:i w:val="0"/>
          <w:iCs w:val="0"/>
          <w:color w:val="auto"/>
          <w:sz w:val="20"/>
          <w:szCs w:val="20"/>
        </w:rPr>
        <w:fldChar w:fldCharType="separate"/>
      </w:r>
      <w:r w:rsidRPr="00936848">
        <w:rPr>
          <w:rFonts w:ascii="Arial" w:hAnsi="Arial" w:cs="Arial"/>
          <w:b/>
          <w:bCs/>
          <w:i w:val="0"/>
          <w:iCs w:val="0"/>
          <w:noProof/>
          <w:color w:val="auto"/>
          <w:sz w:val="20"/>
          <w:szCs w:val="20"/>
        </w:rPr>
        <w:t>4</w:t>
      </w:r>
      <w:r w:rsidRPr="00936848">
        <w:rPr>
          <w:rFonts w:ascii="Arial" w:hAnsi="Arial" w:cs="Arial"/>
          <w:b/>
          <w:bCs/>
          <w:i w:val="0"/>
          <w:iCs w:val="0"/>
          <w:color w:val="auto"/>
          <w:sz w:val="20"/>
          <w:szCs w:val="20"/>
        </w:rPr>
        <w:fldChar w:fldCharType="end"/>
      </w:r>
      <w:r w:rsidRPr="00936848">
        <w:rPr>
          <w:rFonts w:ascii="Arial" w:hAnsi="Arial" w:cs="Arial"/>
          <w:b/>
          <w:bCs/>
          <w:i w:val="0"/>
          <w:iCs w:val="0"/>
          <w:color w:val="auto"/>
          <w:sz w:val="20"/>
          <w:szCs w:val="20"/>
        </w:rPr>
        <w:t>.</w:t>
      </w:r>
      <w:r w:rsidRPr="00936848">
        <w:rPr>
          <w:rFonts w:ascii="Arial" w:hAnsi="Arial" w:cs="Arial"/>
          <w:i w:val="0"/>
          <w:iCs w:val="0"/>
          <w:color w:val="auto"/>
          <w:sz w:val="20"/>
          <w:szCs w:val="20"/>
        </w:rPr>
        <w:t xml:space="preserve"> Capturas de pantalla de la herramienta audiovisual para el taller interactivo</w:t>
      </w:r>
    </w:p>
    <w:p w14:paraId="1E560616" w14:textId="708204AA" w:rsidR="0040082E" w:rsidRPr="0040082E" w:rsidRDefault="0040082E" w:rsidP="0070375E">
      <w:pPr>
        <w:pStyle w:val="Prrafodelista"/>
        <w:jc w:val="center"/>
        <w:rPr>
          <w:rFonts w:ascii="Arial" w:hAnsi="Arial" w:cs="Arial"/>
          <w:sz w:val="24"/>
          <w:szCs w:val="24"/>
        </w:rPr>
      </w:pPr>
    </w:p>
    <w:p w14:paraId="51ED56AE" w14:textId="77777777" w:rsidR="008743F2" w:rsidRDefault="00A36576" w:rsidP="00BD1036">
      <w:pPr>
        <w:spacing w:line="360" w:lineRule="auto"/>
        <w:jc w:val="both"/>
        <w:rPr>
          <w:rFonts w:ascii="Arial" w:hAnsi="Arial" w:cs="Arial"/>
          <w:sz w:val="24"/>
          <w:szCs w:val="24"/>
        </w:rPr>
      </w:pPr>
      <w:r w:rsidRPr="00584598">
        <w:rPr>
          <w:rFonts w:ascii="Arial" w:hAnsi="Arial" w:cs="Arial"/>
          <w:sz w:val="24"/>
          <w:szCs w:val="24"/>
        </w:rPr>
        <w:t>Respecto al desempeño de</w:t>
      </w:r>
      <w:r w:rsidR="00584598">
        <w:rPr>
          <w:rFonts w:ascii="Arial" w:hAnsi="Arial" w:cs="Arial"/>
          <w:sz w:val="24"/>
          <w:szCs w:val="24"/>
        </w:rPr>
        <w:t>l TVLE, se realizó una serie de inspecciones visuales, sobre el estado de la vegetación</w:t>
      </w:r>
      <w:r w:rsidR="001F2EA8">
        <w:rPr>
          <w:rFonts w:ascii="Arial" w:hAnsi="Arial" w:cs="Arial"/>
          <w:sz w:val="24"/>
          <w:szCs w:val="24"/>
        </w:rPr>
        <w:t xml:space="preserve"> y determinar el grado de sobrevivencia de las plantas durante el período de estabilización. </w:t>
      </w:r>
      <w:r w:rsidR="00EE728C">
        <w:rPr>
          <w:rFonts w:ascii="Arial" w:hAnsi="Arial" w:cs="Arial"/>
          <w:sz w:val="24"/>
          <w:szCs w:val="24"/>
        </w:rPr>
        <w:t>De las 156 plantas colocadas de ocho diferentes tipos de especies, sólo el 85% de la vegetación</w:t>
      </w:r>
      <w:r w:rsidR="00881E17">
        <w:rPr>
          <w:rFonts w:ascii="Arial" w:hAnsi="Arial" w:cs="Arial"/>
          <w:sz w:val="24"/>
          <w:szCs w:val="24"/>
        </w:rPr>
        <w:t xml:space="preserve"> total</w:t>
      </w:r>
      <w:r w:rsidR="00EE728C">
        <w:rPr>
          <w:rFonts w:ascii="Arial" w:hAnsi="Arial" w:cs="Arial"/>
          <w:sz w:val="24"/>
          <w:szCs w:val="24"/>
        </w:rPr>
        <w:t xml:space="preserve"> sobrevivió</w:t>
      </w:r>
      <w:r w:rsidR="002A25E3">
        <w:rPr>
          <w:rFonts w:ascii="Arial" w:hAnsi="Arial" w:cs="Arial"/>
          <w:sz w:val="24"/>
          <w:szCs w:val="24"/>
        </w:rPr>
        <w:t xml:space="preserve">, este </w:t>
      </w:r>
      <w:r w:rsidR="002A25E3">
        <w:rPr>
          <w:rFonts w:ascii="Arial" w:hAnsi="Arial" w:cs="Arial"/>
          <w:sz w:val="24"/>
          <w:szCs w:val="24"/>
        </w:rPr>
        <w:lastRenderedPageBreak/>
        <w:t xml:space="preserve">porcentaje es por la nula </w:t>
      </w:r>
      <w:r w:rsidR="005A18E1">
        <w:rPr>
          <w:rFonts w:ascii="Arial" w:hAnsi="Arial" w:cs="Arial"/>
          <w:sz w:val="24"/>
          <w:szCs w:val="24"/>
        </w:rPr>
        <w:t>subsistencia de los ejemplares de</w:t>
      </w:r>
      <w:r w:rsidR="00881E17">
        <w:rPr>
          <w:rFonts w:ascii="Arial" w:hAnsi="Arial" w:cs="Arial"/>
          <w:sz w:val="24"/>
          <w:szCs w:val="24"/>
        </w:rPr>
        <w:t xml:space="preserve"> </w:t>
      </w:r>
      <w:r w:rsidR="00881E17" w:rsidRPr="00881E17">
        <w:rPr>
          <w:rFonts w:ascii="Arial" w:hAnsi="Arial" w:cs="Arial"/>
          <w:i/>
          <w:iCs/>
          <w:sz w:val="24"/>
          <w:szCs w:val="24"/>
        </w:rPr>
        <w:t>S</w:t>
      </w:r>
      <w:r w:rsidR="00881E17">
        <w:rPr>
          <w:rFonts w:ascii="Arial" w:hAnsi="Arial" w:cs="Arial"/>
          <w:i/>
          <w:iCs/>
          <w:sz w:val="24"/>
          <w:szCs w:val="24"/>
        </w:rPr>
        <w:t>.</w:t>
      </w:r>
      <w:r w:rsidR="00881E17" w:rsidRPr="00881E17">
        <w:rPr>
          <w:rFonts w:ascii="Arial" w:hAnsi="Arial" w:cs="Arial"/>
          <w:i/>
          <w:iCs/>
          <w:sz w:val="24"/>
          <w:szCs w:val="24"/>
        </w:rPr>
        <w:t xml:space="preserve"> </w:t>
      </w:r>
      <w:proofErr w:type="spellStart"/>
      <w:r w:rsidR="00881E17" w:rsidRPr="00881E17">
        <w:rPr>
          <w:rFonts w:ascii="Arial" w:hAnsi="Arial" w:cs="Arial"/>
          <w:i/>
          <w:iCs/>
          <w:sz w:val="24"/>
          <w:szCs w:val="24"/>
        </w:rPr>
        <w:t>morganianum</w:t>
      </w:r>
      <w:proofErr w:type="spellEnd"/>
      <w:r w:rsidR="00881E17" w:rsidRPr="00881E17">
        <w:rPr>
          <w:rFonts w:ascii="Arial" w:hAnsi="Arial" w:cs="Arial"/>
          <w:sz w:val="24"/>
          <w:szCs w:val="24"/>
        </w:rPr>
        <w:t xml:space="preserve"> (Burrito)</w:t>
      </w:r>
      <w:r w:rsidR="00AC5318">
        <w:rPr>
          <w:rFonts w:ascii="Arial" w:hAnsi="Arial" w:cs="Arial"/>
          <w:sz w:val="24"/>
          <w:szCs w:val="24"/>
        </w:rPr>
        <w:t>.</w:t>
      </w:r>
    </w:p>
    <w:p w14:paraId="16C355EB" w14:textId="06557A58" w:rsidR="00F802DA" w:rsidRDefault="008743F2" w:rsidP="00BD1036">
      <w:pPr>
        <w:spacing w:line="360" w:lineRule="auto"/>
        <w:jc w:val="both"/>
        <w:rPr>
          <w:rFonts w:ascii="Arial" w:hAnsi="Arial" w:cs="Arial"/>
          <w:sz w:val="24"/>
          <w:szCs w:val="24"/>
        </w:rPr>
      </w:pPr>
      <w:r>
        <w:rPr>
          <w:rFonts w:ascii="Arial" w:hAnsi="Arial" w:cs="Arial"/>
          <w:sz w:val="24"/>
          <w:szCs w:val="24"/>
        </w:rPr>
        <w:t>A</w:t>
      </w:r>
      <w:r w:rsidR="00FC0FD1">
        <w:rPr>
          <w:rFonts w:ascii="Arial" w:hAnsi="Arial" w:cs="Arial"/>
          <w:sz w:val="24"/>
          <w:szCs w:val="24"/>
        </w:rPr>
        <w:t xml:space="preserve"> pesar de la pérdida de est</w:t>
      </w:r>
      <w:r w:rsidR="00F2379C">
        <w:rPr>
          <w:rFonts w:ascii="Arial" w:hAnsi="Arial" w:cs="Arial"/>
          <w:sz w:val="24"/>
          <w:szCs w:val="24"/>
        </w:rPr>
        <w:t>e porcentaje de la flora</w:t>
      </w:r>
      <w:r>
        <w:rPr>
          <w:rFonts w:ascii="Arial" w:hAnsi="Arial" w:cs="Arial"/>
          <w:sz w:val="24"/>
          <w:szCs w:val="24"/>
        </w:rPr>
        <w:t xml:space="preserve">, se observó el arribo de </w:t>
      </w:r>
      <w:r w:rsidR="0087202E">
        <w:rPr>
          <w:rFonts w:ascii="Arial" w:hAnsi="Arial" w:cs="Arial"/>
          <w:sz w:val="24"/>
          <w:szCs w:val="24"/>
        </w:rPr>
        <w:t xml:space="preserve">10 </w:t>
      </w:r>
      <w:r>
        <w:rPr>
          <w:rFonts w:ascii="Arial" w:hAnsi="Arial" w:cs="Arial"/>
          <w:sz w:val="24"/>
          <w:szCs w:val="24"/>
        </w:rPr>
        <w:t xml:space="preserve">plantas nativas </w:t>
      </w:r>
      <w:r w:rsidR="0087202E">
        <w:rPr>
          <w:rFonts w:ascii="Arial" w:hAnsi="Arial" w:cs="Arial"/>
          <w:sz w:val="24"/>
          <w:szCs w:val="24"/>
        </w:rPr>
        <w:t>dispersas en todo el TVLE</w:t>
      </w:r>
      <w:r>
        <w:rPr>
          <w:rFonts w:ascii="Arial" w:hAnsi="Arial" w:cs="Arial"/>
          <w:sz w:val="24"/>
          <w:szCs w:val="24"/>
        </w:rPr>
        <w:t xml:space="preserve">, </w:t>
      </w:r>
      <w:r w:rsidR="0087202E">
        <w:rPr>
          <w:rFonts w:ascii="Arial" w:hAnsi="Arial" w:cs="Arial"/>
          <w:sz w:val="24"/>
          <w:szCs w:val="24"/>
        </w:rPr>
        <w:t xml:space="preserve">de </w:t>
      </w:r>
      <w:r w:rsidR="00045C80" w:rsidRPr="00045C80">
        <w:rPr>
          <w:rFonts w:ascii="Arial" w:hAnsi="Arial" w:cs="Arial"/>
          <w:sz w:val="24"/>
          <w:szCs w:val="24"/>
        </w:rPr>
        <w:t>una especie de la familia</w:t>
      </w:r>
      <w:r w:rsidR="00045C80" w:rsidRPr="00045C80">
        <w:rPr>
          <w:rFonts w:ascii="Arial" w:hAnsi="Arial" w:cs="Arial"/>
          <w:i/>
          <w:iCs/>
          <w:sz w:val="24"/>
          <w:szCs w:val="24"/>
        </w:rPr>
        <w:t xml:space="preserve"> </w:t>
      </w:r>
      <w:proofErr w:type="spellStart"/>
      <w:r w:rsidR="00045C80" w:rsidRPr="00045C80">
        <w:rPr>
          <w:rFonts w:ascii="Arial" w:hAnsi="Arial" w:cs="Arial"/>
          <w:i/>
          <w:iCs/>
          <w:sz w:val="24"/>
          <w:szCs w:val="24"/>
        </w:rPr>
        <w:t>Portulacaceae</w:t>
      </w:r>
      <w:proofErr w:type="spellEnd"/>
      <w:r w:rsidR="00045C80">
        <w:rPr>
          <w:rFonts w:ascii="Arial" w:hAnsi="Arial" w:cs="Arial"/>
          <w:i/>
          <w:iCs/>
          <w:sz w:val="24"/>
          <w:szCs w:val="24"/>
        </w:rPr>
        <w:t xml:space="preserve">, </w:t>
      </w:r>
      <w:r w:rsidR="00045C80" w:rsidRPr="00045C80">
        <w:rPr>
          <w:rFonts w:ascii="Arial" w:hAnsi="Arial" w:cs="Arial"/>
          <w:sz w:val="24"/>
          <w:szCs w:val="24"/>
        </w:rPr>
        <w:t xml:space="preserve">la </w:t>
      </w:r>
      <w:r w:rsidR="00045C80" w:rsidRPr="00045C80">
        <w:rPr>
          <w:rFonts w:ascii="Arial" w:hAnsi="Arial" w:cs="Arial"/>
          <w:i/>
          <w:iCs/>
          <w:sz w:val="24"/>
          <w:szCs w:val="24"/>
        </w:rPr>
        <w:t xml:space="preserve">Portulaca </w:t>
      </w:r>
      <w:proofErr w:type="spellStart"/>
      <w:r w:rsidR="00045C80" w:rsidRPr="00045C80">
        <w:rPr>
          <w:rFonts w:ascii="Arial" w:hAnsi="Arial" w:cs="Arial"/>
          <w:i/>
          <w:iCs/>
          <w:sz w:val="24"/>
          <w:szCs w:val="24"/>
        </w:rPr>
        <w:t>oleracea</w:t>
      </w:r>
      <w:proofErr w:type="spellEnd"/>
      <w:r w:rsidR="00F802DA">
        <w:rPr>
          <w:rFonts w:ascii="Arial" w:hAnsi="Arial" w:cs="Arial"/>
          <w:sz w:val="24"/>
          <w:szCs w:val="24"/>
        </w:rPr>
        <w:t xml:space="preserve">, conocida con el nombre común de </w:t>
      </w:r>
      <w:r w:rsidR="00045C80" w:rsidRPr="00045C80">
        <w:rPr>
          <w:rFonts w:ascii="Arial" w:hAnsi="Arial" w:cs="Arial"/>
          <w:sz w:val="24"/>
          <w:szCs w:val="24"/>
        </w:rPr>
        <w:t>verdolaga</w:t>
      </w:r>
      <w:r w:rsidR="00F802DA">
        <w:rPr>
          <w:rFonts w:ascii="Arial" w:hAnsi="Arial" w:cs="Arial"/>
          <w:sz w:val="24"/>
          <w:szCs w:val="24"/>
        </w:rPr>
        <w:t xml:space="preserve"> (figura </w:t>
      </w:r>
      <w:r w:rsidR="00FC0FD1">
        <w:rPr>
          <w:rFonts w:ascii="Arial" w:hAnsi="Arial" w:cs="Arial"/>
          <w:sz w:val="24"/>
          <w:szCs w:val="24"/>
        </w:rPr>
        <w:t>3</w:t>
      </w:r>
      <w:r w:rsidR="00F802DA">
        <w:rPr>
          <w:rFonts w:ascii="Arial" w:hAnsi="Arial" w:cs="Arial"/>
          <w:sz w:val="24"/>
          <w:szCs w:val="24"/>
        </w:rPr>
        <w:t>)</w:t>
      </w:r>
      <w:r w:rsidR="00045C80">
        <w:rPr>
          <w:rFonts w:ascii="Arial" w:hAnsi="Arial" w:cs="Arial"/>
          <w:sz w:val="24"/>
          <w:szCs w:val="24"/>
        </w:rPr>
        <w:t>.</w:t>
      </w:r>
      <w:r w:rsidR="00F802DA">
        <w:rPr>
          <w:rFonts w:ascii="Arial" w:hAnsi="Arial" w:cs="Arial"/>
          <w:sz w:val="24"/>
          <w:szCs w:val="24"/>
        </w:rPr>
        <w:t xml:space="preserve"> </w:t>
      </w:r>
    </w:p>
    <w:p w14:paraId="068AF16B" w14:textId="6728FB3E" w:rsidR="00FC0FD1" w:rsidRDefault="00FC0FD1" w:rsidP="00FC0FD1">
      <w:pPr>
        <w:keepNext/>
        <w:jc w:val="center"/>
      </w:pPr>
      <w:r>
        <w:rPr>
          <w:noProof/>
        </w:rPr>
        <mc:AlternateContent>
          <mc:Choice Requires="wps">
            <w:drawing>
              <wp:anchor distT="0" distB="0" distL="114300" distR="114300" simplePos="0" relativeHeight="251661312" behindDoc="0" locked="0" layoutInCell="1" allowOverlap="1" wp14:anchorId="07E92D71" wp14:editId="2A3B674C">
                <wp:simplePos x="0" y="0"/>
                <wp:positionH relativeFrom="column">
                  <wp:posOffset>2196465</wp:posOffset>
                </wp:positionH>
                <wp:positionV relativeFrom="paragraph">
                  <wp:posOffset>1786255</wp:posOffset>
                </wp:positionV>
                <wp:extent cx="714375" cy="685800"/>
                <wp:effectExtent l="0" t="0" r="28575" b="19050"/>
                <wp:wrapNone/>
                <wp:docPr id="925463546" name="Elipse 2"/>
                <wp:cNvGraphicFramePr/>
                <a:graphic xmlns:a="http://schemas.openxmlformats.org/drawingml/2006/main">
                  <a:graphicData uri="http://schemas.microsoft.com/office/word/2010/wordprocessingShape">
                    <wps:wsp>
                      <wps:cNvSpPr/>
                      <wps:spPr>
                        <a:xfrm>
                          <a:off x="0" y="0"/>
                          <a:ext cx="714375" cy="6858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6527FA" id="Elipse 2" o:spid="_x0000_s1026" style="position:absolute;margin-left:172.95pt;margin-top:140.65pt;width:56.25pt;height: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" filled="f" strokecolor="red"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01089120" wp14:editId="0BA4A8BA">
                <wp:simplePos x="0" y="0"/>
                <wp:positionH relativeFrom="column">
                  <wp:posOffset>2301240</wp:posOffset>
                </wp:positionH>
                <wp:positionV relativeFrom="paragraph">
                  <wp:posOffset>233680</wp:posOffset>
                </wp:positionV>
                <wp:extent cx="714375" cy="581025"/>
                <wp:effectExtent l="0" t="0" r="28575" b="28575"/>
                <wp:wrapNone/>
                <wp:docPr id="1269746613" name="Elipse 2"/>
                <wp:cNvGraphicFramePr/>
                <a:graphic xmlns:a="http://schemas.openxmlformats.org/drawingml/2006/main">
                  <a:graphicData uri="http://schemas.microsoft.com/office/word/2010/wordprocessingShape">
                    <wps:wsp>
                      <wps:cNvSpPr/>
                      <wps:spPr>
                        <a:xfrm>
                          <a:off x="0" y="0"/>
                          <a:ext cx="714375" cy="5810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FC87E2" id="Elipse 2" o:spid="_x0000_s1026" style="position:absolute;margin-left:181.2pt;margin-top:18.4pt;width:56.25pt;height:4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" filled="f" strokecolor="red" strokeweight="1pt">
                <v:stroke joinstyle="miter"/>
              </v:oval>
            </w:pict>
          </mc:Fallback>
        </mc:AlternateContent>
      </w:r>
      <w:r w:rsidR="00F802DA">
        <w:rPr>
          <w:noProof/>
        </w:rPr>
        <w:drawing>
          <wp:inline distT="0" distB="0" distL="0" distR="0" wp14:anchorId="1B355F5C" wp14:editId="2070547D">
            <wp:extent cx="2495812" cy="1872000"/>
            <wp:effectExtent l="6985" t="0" r="6985" b="6985"/>
            <wp:docPr id="2789462" name="Imagen 1" descr="Planta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462" name="Imagen 1" descr="Planta con hojas verdes&#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95812" cy="1872000"/>
                    </a:xfrm>
                    <a:prstGeom prst="rect">
                      <a:avLst/>
                    </a:prstGeom>
                    <a:noFill/>
                    <a:ln>
                      <a:noFill/>
                    </a:ln>
                  </pic:spPr>
                </pic:pic>
              </a:graphicData>
            </a:graphic>
          </wp:inline>
        </w:drawing>
      </w:r>
    </w:p>
    <w:p w14:paraId="18E8D013" w14:textId="51519067" w:rsidR="00F802DA" w:rsidRPr="00FC0FD1" w:rsidRDefault="00FC0FD1" w:rsidP="00FC0FD1">
      <w:pPr>
        <w:pStyle w:val="Descripcin"/>
        <w:jc w:val="center"/>
        <w:rPr>
          <w:rFonts w:ascii="Arial" w:hAnsi="Arial" w:cs="Arial"/>
          <w:i w:val="0"/>
          <w:iCs w:val="0"/>
          <w:color w:val="auto"/>
          <w:sz w:val="28"/>
          <w:szCs w:val="28"/>
        </w:rPr>
      </w:pPr>
      <w:r w:rsidRPr="00FC0FD1">
        <w:rPr>
          <w:rFonts w:ascii="Arial" w:hAnsi="Arial" w:cs="Arial"/>
          <w:b/>
          <w:bCs/>
          <w:i w:val="0"/>
          <w:iCs w:val="0"/>
          <w:color w:val="auto"/>
          <w:sz w:val="20"/>
          <w:szCs w:val="20"/>
        </w:rPr>
        <w:t xml:space="preserve">Figura </w:t>
      </w:r>
      <w:r w:rsidRPr="00FC0FD1">
        <w:rPr>
          <w:rFonts w:ascii="Arial" w:hAnsi="Arial" w:cs="Arial"/>
          <w:b/>
          <w:bCs/>
          <w:i w:val="0"/>
          <w:iCs w:val="0"/>
          <w:color w:val="auto"/>
          <w:sz w:val="20"/>
          <w:szCs w:val="20"/>
        </w:rPr>
        <w:fldChar w:fldCharType="begin"/>
      </w:r>
      <w:r w:rsidRPr="00FC0FD1">
        <w:rPr>
          <w:rFonts w:ascii="Arial" w:hAnsi="Arial" w:cs="Arial"/>
          <w:b/>
          <w:bCs/>
          <w:i w:val="0"/>
          <w:iCs w:val="0"/>
          <w:color w:val="auto"/>
          <w:sz w:val="20"/>
          <w:szCs w:val="20"/>
        </w:rPr>
        <w:instrText xml:space="preserve"> SEQ Figura \* ARABIC </w:instrText>
      </w:r>
      <w:r w:rsidRPr="00FC0FD1">
        <w:rPr>
          <w:rFonts w:ascii="Arial" w:hAnsi="Arial" w:cs="Arial"/>
          <w:b/>
          <w:bCs/>
          <w:i w:val="0"/>
          <w:iCs w:val="0"/>
          <w:color w:val="auto"/>
          <w:sz w:val="20"/>
          <w:szCs w:val="20"/>
        </w:rPr>
        <w:fldChar w:fldCharType="separate"/>
      </w:r>
      <w:r w:rsidR="00936848">
        <w:rPr>
          <w:rFonts w:ascii="Arial" w:hAnsi="Arial" w:cs="Arial"/>
          <w:b/>
          <w:bCs/>
          <w:i w:val="0"/>
          <w:iCs w:val="0"/>
          <w:noProof/>
          <w:color w:val="auto"/>
          <w:sz w:val="20"/>
          <w:szCs w:val="20"/>
        </w:rPr>
        <w:t>5</w:t>
      </w:r>
      <w:r w:rsidRPr="00FC0FD1">
        <w:rPr>
          <w:rFonts w:ascii="Arial" w:hAnsi="Arial" w:cs="Arial"/>
          <w:b/>
          <w:bCs/>
          <w:i w:val="0"/>
          <w:iCs w:val="0"/>
          <w:color w:val="auto"/>
          <w:sz w:val="20"/>
          <w:szCs w:val="20"/>
        </w:rPr>
        <w:fldChar w:fldCharType="end"/>
      </w:r>
      <w:r w:rsidRPr="00FC0FD1">
        <w:rPr>
          <w:rFonts w:ascii="Arial" w:hAnsi="Arial" w:cs="Arial"/>
          <w:b/>
          <w:bCs/>
          <w:i w:val="0"/>
          <w:iCs w:val="0"/>
          <w:color w:val="auto"/>
          <w:sz w:val="20"/>
          <w:szCs w:val="20"/>
        </w:rPr>
        <w:t>.</w:t>
      </w:r>
      <w:r w:rsidRPr="00FC0FD1">
        <w:rPr>
          <w:rFonts w:ascii="Arial" w:hAnsi="Arial" w:cs="Arial"/>
          <w:i w:val="0"/>
          <w:iCs w:val="0"/>
          <w:color w:val="auto"/>
          <w:sz w:val="20"/>
          <w:szCs w:val="20"/>
        </w:rPr>
        <w:t xml:space="preserve"> Identificación de plantas no sembradas en el TVLE</w:t>
      </w:r>
    </w:p>
    <w:p w14:paraId="68E92F7F" w14:textId="62314224" w:rsidR="001F2EA8" w:rsidRPr="00584598" w:rsidRDefault="00045C80" w:rsidP="00584598">
      <w:pPr>
        <w:jc w:val="both"/>
        <w:rPr>
          <w:rFonts w:ascii="Arial" w:hAnsi="Arial" w:cs="Arial"/>
          <w:sz w:val="24"/>
          <w:szCs w:val="24"/>
        </w:rPr>
      </w:pPr>
      <w:r>
        <w:rPr>
          <w:rFonts w:ascii="Arial" w:hAnsi="Arial" w:cs="Arial"/>
          <w:sz w:val="24"/>
          <w:szCs w:val="24"/>
        </w:rPr>
        <w:t xml:space="preserve"> </w:t>
      </w:r>
      <w:r w:rsidRPr="00045C80">
        <w:rPr>
          <w:rFonts w:ascii="Arial" w:hAnsi="Arial" w:cs="Arial"/>
          <w:sz w:val="24"/>
          <w:szCs w:val="24"/>
        </w:rPr>
        <w:t xml:space="preserve"> </w:t>
      </w:r>
    </w:p>
    <w:p w14:paraId="64A2FEF2" w14:textId="6D6C1DFD" w:rsidR="009251F7" w:rsidRPr="009251F7" w:rsidRDefault="009251F7" w:rsidP="00BD1036">
      <w:pPr>
        <w:pStyle w:val="Descripcin"/>
        <w:keepNext/>
        <w:spacing w:after="0" w:line="360" w:lineRule="auto"/>
        <w:jc w:val="both"/>
      </w:pPr>
      <w:r w:rsidRPr="009251F7">
        <w:rPr>
          <w:rFonts w:ascii="Arial" w:hAnsi="Arial" w:cs="Arial"/>
          <w:i w:val="0"/>
          <w:iCs w:val="0"/>
          <w:color w:val="auto"/>
          <w:sz w:val="24"/>
          <w:szCs w:val="24"/>
        </w:rPr>
        <w:t xml:space="preserve">Las especies </w:t>
      </w:r>
      <w:r w:rsidRPr="009251F7">
        <w:rPr>
          <w:rFonts w:ascii="Arial" w:hAnsi="Arial" w:cs="Arial"/>
          <w:color w:val="auto"/>
          <w:sz w:val="24"/>
          <w:szCs w:val="24"/>
        </w:rPr>
        <w:t xml:space="preserve">S. </w:t>
      </w:r>
      <w:proofErr w:type="spellStart"/>
      <w:r w:rsidRPr="009251F7">
        <w:rPr>
          <w:rFonts w:ascii="Arial" w:hAnsi="Arial" w:cs="Arial"/>
          <w:color w:val="auto"/>
          <w:sz w:val="24"/>
          <w:szCs w:val="24"/>
        </w:rPr>
        <w:t>dendroideum</w:t>
      </w:r>
      <w:proofErr w:type="spellEnd"/>
      <w:r w:rsidRPr="009251F7">
        <w:rPr>
          <w:rFonts w:ascii="Arial" w:hAnsi="Arial" w:cs="Arial"/>
          <w:color w:val="auto"/>
          <w:sz w:val="24"/>
          <w:szCs w:val="24"/>
        </w:rPr>
        <w:t xml:space="preserve"> </w:t>
      </w:r>
      <w:r w:rsidRPr="009251F7">
        <w:rPr>
          <w:rFonts w:ascii="Arial" w:hAnsi="Arial" w:cs="Arial"/>
          <w:i w:val="0"/>
          <w:iCs w:val="0"/>
          <w:color w:val="auto"/>
          <w:sz w:val="24"/>
          <w:szCs w:val="24"/>
        </w:rPr>
        <w:t>y</w:t>
      </w:r>
      <w:r w:rsidRPr="009251F7">
        <w:rPr>
          <w:rFonts w:ascii="Arial" w:hAnsi="Arial" w:cs="Arial"/>
          <w:color w:val="auto"/>
          <w:sz w:val="24"/>
          <w:szCs w:val="24"/>
        </w:rPr>
        <w:t xml:space="preserve"> </w:t>
      </w:r>
      <w:r w:rsidRPr="009251F7">
        <w:rPr>
          <w:rFonts w:ascii="Arial" w:hAnsi="Arial" w:cs="Arial"/>
          <w:color w:val="auto"/>
          <w:sz w:val="24"/>
          <w:szCs w:val="24"/>
        </w:rPr>
        <w:t xml:space="preserve">S. </w:t>
      </w:r>
      <w:proofErr w:type="spellStart"/>
      <w:r w:rsidRPr="009251F7">
        <w:rPr>
          <w:rFonts w:ascii="Arial" w:hAnsi="Arial" w:cs="Arial"/>
          <w:color w:val="auto"/>
          <w:sz w:val="24"/>
          <w:szCs w:val="24"/>
        </w:rPr>
        <w:t>rubrotinctum</w:t>
      </w:r>
      <w:proofErr w:type="spellEnd"/>
      <w:r>
        <w:rPr>
          <w:rFonts w:ascii="Arial" w:hAnsi="Arial" w:cs="Arial"/>
          <w:color w:val="auto"/>
          <w:sz w:val="24"/>
          <w:szCs w:val="24"/>
        </w:rPr>
        <w:t xml:space="preserve"> </w:t>
      </w:r>
      <w:r>
        <w:rPr>
          <w:rFonts w:ascii="Arial" w:hAnsi="Arial" w:cs="Arial"/>
          <w:i w:val="0"/>
          <w:iCs w:val="0"/>
          <w:color w:val="auto"/>
          <w:sz w:val="24"/>
          <w:szCs w:val="24"/>
        </w:rPr>
        <w:t>son las designadas como plantas de estudio</w:t>
      </w:r>
      <w:r w:rsidR="00321D15">
        <w:rPr>
          <w:rFonts w:ascii="Arial" w:hAnsi="Arial" w:cs="Arial"/>
          <w:i w:val="0"/>
          <w:iCs w:val="0"/>
          <w:color w:val="auto"/>
          <w:sz w:val="24"/>
          <w:szCs w:val="24"/>
        </w:rPr>
        <w:t>, de estas se calculó la cantidad de CO</w:t>
      </w:r>
      <w:r w:rsidR="00321D15" w:rsidRPr="002770E8">
        <w:rPr>
          <w:rFonts w:ascii="Arial" w:hAnsi="Arial" w:cs="Arial"/>
          <w:i w:val="0"/>
          <w:iCs w:val="0"/>
          <w:color w:val="auto"/>
          <w:sz w:val="24"/>
          <w:szCs w:val="24"/>
          <w:vertAlign w:val="subscript"/>
        </w:rPr>
        <w:t>2</w:t>
      </w:r>
      <w:r w:rsidR="00321D15">
        <w:rPr>
          <w:rFonts w:ascii="Arial" w:hAnsi="Arial" w:cs="Arial"/>
          <w:i w:val="0"/>
          <w:iCs w:val="0"/>
          <w:color w:val="auto"/>
          <w:sz w:val="24"/>
          <w:szCs w:val="24"/>
        </w:rPr>
        <w:t xml:space="preserve"> capturado en durante los 6 meses de estabilización</w:t>
      </w:r>
      <w:r w:rsidR="002770E8">
        <w:rPr>
          <w:rFonts w:ascii="Arial" w:hAnsi="Arial" w:cs="Arial"/>
          <w:i w:val="0"/>
          <w:iCs w:val="0"/>
          <w:color w:val="auto"/>
          <w:sz w:val="24"/>
          <w:szCs w:val="24"/>
        </w:rPr>
        <w:t>, en la tabla 2, se presentan los resultados teóricos. En el tiempo restante con el equipo medidor de CO</w:t>
      </w:r>
      <w:r w:rsidR="002770E8" w:rsidRPr="002770E8">
        <w:rPr>
          <w:rFonts w:ascii="Arial" w:hAnsi="Arial" w:cs="Arial"/>
          <w:i w:val="0"/>
          <w:iCs w:val="0"/>
          <w:color w:val="auto"/>
          <w:sz w:val="24"/>
          <w:szCs w:val="24"/>
          <w:vertAlign w:val="subscript"/>
        </w:rPr>
        <w:t>2</w:t>
      </w:r>
      <w:r w:rsidR="002770E8">
        <w:rPr>
          <w:rFonts w:ascii="Arial" w:hAnsi="Arial" w:cs="Arial"/>
          <w:i w:val="0"/>
          <w:iCs w:val="0"/>
          <w:color w:val="auto"/>
          <w:sz w:val="24"/>
          <w:szCs w:val="24"/>
        </w:rPr>
        <w:t xml:space="preserve">, se podrá evaluar físicamente el desempeño de </w:t>
      </w:r>
      <w:r w:rsidR="00BD1036">
        <w:rPr>
          <w:rFonts w:ascii="Arial" w:hAnsi="Arial" w:cs="Arial"/>
          <w:i w:val="0"/>
          <w:iCs w:val="0"/>
          <w:color w:val="auto"/>
          <w:sz w:val="24"/>
          <w:szCs w:val="24"/>
        </w:rPr>
        <w:t>estas</w:t>
      </w:r>
      <w:r w:rsidR="002770E8">
        <w:rPr>
          <w:rFonts w:ascii="Arial" w:hAnsi="Arial" w:cs="Arial"/>
          <w:i w:val="0"/>
          <w:iCs w:val="0"/>
          <w:color w:val="auto"/>
          <w:sz w:val="24"/>
          <w:szCs w:val="24"/>
        </w:rPr>
        <w:t xml:space="preserve"> en dos períodos primavera-verano y otoño-invierno</w:t>
      </w:r>
      <w:r w:rsidR="00BD1036">
        <w:rPr>
          <w:rFonts w:ascii="Arial" w:hAnsi="Arial" w:cs="Arial"/>
          <w:i w:val="0"/>
          <w:iCs w:val="0"/>
          <w:color w:val="auto"/>
          <w:sz w:val="24"/>
          <w:szCs w:val="24"/>
        </w:rPr>
        <w:t>.</w:t>
      </w:r>
    </w:p>
    <w:p w14:paraId="60D1BA99" w14:textId="3DB06129" w:rsidR="00962AF8" w:rsidRPr="00462731" w:rsidRDefault="00962AF8" w:rsidP="00462731">
      <w:pPr>
        <w:pStyle w:val="Descripcin"/>
        <w:keepNext/>
        <w:spacing w:after="0"/>
        <w:rPr>
          <w:rFonts w:ascii="Arial" w:hAnsi="Arial" w:cs="Arial"/>
          <w:b/>
          <w:bCs/>
          <w:i w:val="0"/>
          <w:iCs w:val="0"/>
          <w:color w:val="auto"/>
          <w:sz w:val="20"/>
          <w:szCs w:val="20"/>
        </w:rPr>
      </w:pPr>
      <w:r w:rsidRPr="00462731">
        <w:rPr>
          <w:rFonts w:ascii="Arial" w:hAnsi="Arial" w:cs="Arial"/>
          <w:b/>
          <w:bCs/>
          <w:i w:val="0"/>
          <w:iCs w:val="0"/>
          <w:color w:val="auto"/>
          <w:sz w:val="20"/>
          <w:szCs w:val="20"/>
        </w:rPr>
        <w:t xml:space="preserve">Tabla </w:t>
      </w:r>
      <w:r w:rsidRPr="00462731">
        <w:rPr>
          <w:rFonts w:ascii="Arial" w:hAnsi="Arial" w:cs="Arial"/>
          <w:b/>
          <w:bCs/>
          <w:i w:val="0"/>
          <w:iCs w:val="0"/>
          <w:color w:val="auto"/>
          <w:sz w:val="20"/>
          <w:szCs w:val="20"/>
        </w:rPr>
        <w:fldChar w:fldCharType="begin"/>
      </w:r>
      <w:r w:rsidRPr="00462731">
        <w:rPr>
          <w:rFonts w:ascii="Arial" w:hAnsi="Arial" w:cs="Arial"/>
          <w:b/>
          <w:bCs/>
          <w:i w:val="0"/>
          <w:iCs w:val="0"/>
          <w:color w:val="auto"/>
          <w:sz w:val="20"/>
          <w:szCs w:val="20"/>
        </w:rPr>
        <w:instrText xml:space="preserve"> SEQ Tabla \* ARABIC </w:instrText>
      </w:r>
      <w:r w:rsidRPr="00462731">
        <w:rPr>
          <w:rFonts w:ascii="Arial" w:hAnsi="Arial" w:cs="Arial"/>
          <w:b/>
          <w:bCs/>
          <w:i w:val="0"/>
          <w:iCs w:val="0"/>
          <w:color w:val="auto"/>
          <w:sz w:val="20"/>
          <w:szCs w:val="20"/>
        </w:rPr>
        <w:fldChar w:fldCharType="separate"/>
      </w:r>
      <w:r w:rsidR="00105DFE">
        <w:rPr>
          <w:rFonts w:ascii="Arial" w:hAnsi="Arial" w:cs="Arial"/>
          <w:b/>
          <w:bCs/>
          <w:i w:val="0"/>
          <w:iCs w:val="0"/>
          <w:noProof/>
          <w:color w:val="auto"/>
          <w:sz w:val="20"/>
          <w:szCs w:val="20"/>
        </w:rPr>
        <w:t>2</w:t>
      </w:r>
      <w:r w:rsidRPr="00462731">
        <w:rPr>
          <w:rFonts w:ascii="Arial" w:hAnsi="Arial" w:cs="Arial"/>
          <w:b/>
          <w:bCs/>
          <w:i w:val="0"/>
          <w:iCs w:val="0"/>
          <w:color w:val="auto"/>
          <w:sz w:val="20"/>
          <w:szCs w:val="20"/>
        </w:rPr>
        <w:fldChar w:fldCharType="end"/>
      </w:r>
      <w:r w:rsidRPr="00462731">
        <w:rPr>
          <w:rFonts w:ascii="Arial" w:hAnsi="Arial" w:cs="Arial"/>
          <w:b/>
          <w:bCs/>
          <w:i w:val="0"/>
          <w:iCs w:val="0"/>
          <w:color w:val="auto"/>
          <w:sz w:val="20"/>
          <w:szCs w:val="20"/>
        </w:rPr>
        <w:t xml:space="preserve">. </w:t>
      </w:r>
      <w:r w:rsidRPr="00462731">
        <w:rPr>
          <w:rFonts w:ascii="Arial" w:hAnsi="Arial" w:cs="Arial"/>
          <w:i w:val="0"/>
          <w:iCs w:val="0"/>
          <w:color w:val="auto"/>
          <w:sz w:val="20"/>
          <w:szCs w:val="20"/>
        </w:rPr>
        <w:t>Resultados de la estimación de la asimilación del CO</w:t>
      </w:r>
      <w:r w:rsidRPr="00462731">
        <w:rPr>
          <w:rFonts w:ascii="Arial" w:hAnsi="Arial" w:cs="Arial"/>
          <w:i w:val="0"/>
          <w:iCs w:val="0"/>
          <w:color w:val="auto"/>
          <w:sz w:val="20"/>
          <w:szCs w:val="20"/>
          <w:vertAlign w:val="subscript"/>
        </w:rPr>
        <w:t>2</w:t>
      </w:r>
      <w:r w:rsidRPr="00462731">
        <w:rPr>
          <w:rFonts w:ascii="Arial" w:hAnsi="Arial" w:cs="Arial"/>
          <w:i w:val="0"/>
          <w:iCs w:val="0"/>
          <w:color w:val="auto"/>
          <w:sz w:val="20"/>
          <w:szCs w:val="20"/>
        </w:rPr>
        <w:t xml:space="preserve"> en la vegetación del TVLE</w:t>
      </w:r>
    </w:p>
    <w:tbl>
      <w:tblPr>
        <w:tblW w:w="8849" w:type="dxa"/>
        <w:tblCellMar>
          <w:left w:w="0" w:type="dxa"/>
          <w:right w:w="0" w:type="dxa"/>
        </w:tblCellMar>
        <w:tblLook w:val="0600" w:firstRow="0" w:lastRow="0" w:firstColumn="0" w:lastColumn="0" w:noHBand="1" w:noVBand="1"/>
      </w:tblPr>
      <w:tblGrid>
        <w:gridCol w:w="2322"/>
        <w:gridCol w:w="4324"/>
        <w:gridCol w:w="2203"/>
      </w:tblGrid>
      <w:tr w:rsidR="000E6498" w:rsidRPr="008328D3" w14:paraId="263507A2" w14:textId="77777777" w:rsidTr="0044296A">
        <w:trPr>
          <w:trHeight w:val="156"/>
        </w:trPr>
        <w:tc>
          <w:tcPr>
            <w:tcW w:w="2322"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0EC1B91" w14:textId="77777777" w:rsidR="000E6498" w:rsidRPr="00A634EB" w:rsidRDefault="000E6498" w:rsidP="0044296A">
            <w:pPr>
              <w:spacing w:after="0" w:line="240" w:lineRule="auto"/>
              <w:jc w:val="center"/>
              <w:rPr>
                <w:rFonts w:ascii="Arial" w:eastAsia="Times New Roman" w:hAnsi="Arial" w:cs="Arial"/>
                <w:b/>
                <w:bCs/>
                <w:color w:val="000000"/>
                <w:sz w:val="20"/>
                <w:szCs w:val="20"/>
                <w:lang w:eastAsia="es-MX"/>
              </w:rPr>
            </w:pPr>
            <w:r w:rsidRPr="00A634EB">
              <w:rPr>
                <w:rFonts w:ascii="Arial" w:eastAsia="Times New Roman" w:hAnsi="Arial" w:cs="Arial"/>
                <w:b/>
                <w:bCs/>
                <w:color w:val="000000"/>
                <w:sz w:val="20"/>
                <w:szCs w:val="20"/>
                <w:lang w:eastAsia="es-MX"/>
              </w:rPr>
              <w:t>Especie</w:t>
            </w:r>
          </w:p>
        </w:tc>
        <w:tc>
          <w:tcPr>
            <w:tcW w:w="4324"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1CEA55BB" w14:textId="77777777" w:rsidR="000E6498" w:rsidRPr="00A634EB" w:rsidRDefault="000E6498" w:rsidP="0044296A">
            <w:pPr>
              <w:spacing w:after="0" w:line="240" w:lineRule="auto"/>
              <w:jc w:val="center"/>
              <w:textAlignment w:val="center"/>
              <w:rPr>
                <w:rFonts w:ascii="Arial" w:eastAsia="Times New Roman" w:hAnsi="Arial" w:cs="Arial"/>
                <w:sz w:val="20"/>
                <w:szCs w:val="20"/>
                <w:lang w:eastAsia="es-MX"/>
              </w:rPr>
            </w:pPr>
            <w:r w:rsidRPr="00A634EB">
              <w:rPr>
                <w:rFonts w:ascii="Arial" w:eastAsiaTheme="minorEastAsia" w:hAnsi="Arial" w:cs="Arial"/>
                <w:b/>
                <w:bCs/>
                <w:color w:val="000000" w:themeColor="text1"/>
                <w:kern w:val="24"/>
                <w:sz w:val="20"/>
                <w:szCs w:val="20"/>
                <w:lang w:eastAsia="es-MX"/>
              </w:rPr>
              <w:t>Cantidad</w:t>
            </w:r>
          </w:p>
        </w:tc>
        <w:tc>
          <w:tcPr>
            <w:tcW w:w="2203"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64E7A86B" w14:textId="77777777" w:rsidR="000E6498" w:rsidRPr="00A634EB" w:rsidRDefault="000E6498" w:rsidP="0044296A">
            <w:pPr>
              <w:spacing w:after="0" w:line="240" w:lineRule="auto"/>
              <w:jc w:val="center"/>
              <w:textAlignment w:val="center"/>
              <w:rPr>
                <w:rFonts w:ascii="Arial" w:eastAsia="Times New Roman" w:hAnsi="Arial" w:cs="Arial"/>
                <w:sz w:val="20"/>
                <w:szCs w:val="20"/>
                <w:lang w:eastAsia="es-MX"/>
              </w:rPr>
            </w:pPr>
            <w:r w:rsidRPr="00A634EB">
              <w:rPr>
                <w:rFonts w:ascii="Arial" w:eastAsiaTheme="minorEastAsia" w:hAnsi="Arial" w:cs="Arial"/>
                <w:b/>
                <w:bCs/>
                <w:color w:val="000000" w:themeColor="text1"/>
                <w:kern w:val="24"/>
                <w:sz w:val="20"/>
                <w:szCs w:val="20"/>
                <w:lang w:eastAsia="es-MX"/>
              </w:rPr>
              <w:t>Captura (</w:t>
            </w:r>
            <w:proofErr w:type="spellStart"/>
            <w:r w:rsidRPr="00A634EB">
              <w:rPr>
                <w:rFonts w:ascii="Arial" w:eastAsiaTheme="minorEastAsia" w:hAnsi="Arial" w:cs="Arial"/>
                <w:b/>
                <w:bCs/>
                <w:color w:val="000000" w:themeColor="text1"/>
                <w:kern w:val="24"/>
                <w:sz w:val="20"/>
                <w:szCs w:val="20"/>
                <w:lang w:eastAsia="es-MX"/>
              </w:rPr>
              <w:t>ppmCO</w:t>
            </w:r>
            <w:proofErr w:type="spellEnd"/>
            <w:r w:rsidRPr="00A634EB">
              <w:rPr>
                <w:rFonts w:ascii="Arial" w:eastAsiaTheme="minorEastAsia" w:hAnsi="Arial" w:cs="Arial"/>
                <w:b/>
                <w:bCs/>
                <w:color w:val="000000" w:themeColor="text1"/>
                <w:kern w:val="24"/>
                <w:position w:val="-8"/>
                <w:sz w:val="20"/>
                <w:szCs w:val="20"/>
                <w:vertAlign w:val="subscript"/>
                <w:lang w:eastAsia="es-MX"/>
              </w:rPr>
              <w:t>2</w:t>
            </w:r>
            <w:r w:rsidRPr="00A634EB">
              <w:rPr>
                <w:rFonts w:ascii="Arial" w:eastAsiaTheme="minorEastAsia" w:hAnsi="Arial" w:cs="Arial"/>
                <w:b/>
                <w:bCs/>
                <w:color w:val="000000" w:themeColor="text1"/>
                <w:kern w:val="24"/>
                <w:sz w:val="20"/>
                <w:szCs w:val="20"/>
                <w:lang w:eastAsia="es-MX"/>
              </w:rPr>
              <w:t>)</w:t>
            </w:r>
          </w:p>
        </w:tc>
      </w:tr>
      <w:tr w:rsidR="000E6498" w:rsidRPr="008328D3" w14:paraId="5C3BE3B7" w14:textId="77777777" w:rsidTr="0044296A">
        <w:trPr>
          <w:trHeight w:val="250"/>
        </w:trPr>
        <w:tc>
          <w:tcPr>
            <w:tcW w:w="2322" w:type="dxa"/>
            <w:tcBorders>
              <w:top w:val="single" w:sz="4" w:space="0" w:color="auto"/>
            </w:tcBorders>
            <w:shd w:val="clear" w:color="auto" w:fill="auto"/>
            <w:tcMar>
              <w:top w:w="15" w:type="dxa"/>
              <w:left w:w="15" w:type="dxa"/>
              <w:bottom w:w="0" w:type="dxa"/>
              <w:right w:w="15" w:type="dxa"/>
            </w:tcMar>
            <w:vAlign w:val="center"/>
            <w:hideMark/>
          </w:tcPr>
          <w:p w14:paraId="5B72A7DE" w14:textId="77777777" w:rsidR="000E6498" w:rsidRPr="00A634EB" w:rsidRDefault="000E6498" w:rsidP="0044296A">
            <w:pPr>
              <w:spacing w:after="0" w:line="240" w:lineRule="auto"/>
              <w:jc w:val="center"/>
              <w:textAlignment w:val="center"/>
              <w:rPr>
                <w:rFonts w:ascii="Arial" w:eastAsia="Times New Roman" w:hAnsi="Arial" w:cs="Arial"/>
                <w:sz w:val="20"/>
                <w:szCs w:val="20"/>
                <w:lang w:eastAsia="es-MX"/>
              </w:rPr>
            </w:pPr>
            <w:r w:rsidRPr="00A634EB">
              <w:rPr>
                <w:rFonts w:ascii="Arial" w:eastAsiaTheme="minorEastAsia" w:hAnsi="Arial" w:cs="Arial"/>
                <w:i/>
                <w:iCs/>
                <w:color w:val="000000" w:themeColor="text1"/>
                <w:kern w:val="24"/>
                <w:sz w:val="20"/>
                <w:szCs w:val="20"/>
                <w:lang w:eastAsia="es-MX"/>
              </w:rPr>
              <w:t xml:space="preserve">S. </w:t>
            </w:r>
            <w:proofErr w:type="spellStart"/>
            <w:r w:rsidRPr="00A634EB">
              <w:rPr>
                <w:rFonts w:ascii="Arial" w:eastAsiaTheme="minorEastAsia" w:hAnsi="Arial" w:cs="Arial"/>
                <w:i/>
                <w:iCs/>
                <w:color w:val="000000" w:themeColor="text1"/>
                <w:kern w:val="24"/>
                <w:sz w:val="20"/>
                <w:szCs w:val="20"/>
                <w:lang w:eastAsia="es-MX"/>
              </w:rPr>
              <w:t>dendroideum</w:t>
            </w:r>
            <w:proofErr w:type="spellEnd"/>
          </w:p>
        </w:tc>
        <w:tc>
          <w:tcPr>
            <w:tcW w:w="4324" w:type="dxa"/>
            <w:tcBorders>
              <w:top w:val="single" w:sz="4" w:space="0" w:color="auto"/>
            </w:tcBorders>
            <w:shd w:val="clear" w:color="auto" w:fill="auto"/>
            <w:tcMar>
              <w:top w:w="15" w:type="dxa"/>
              <w:left w:w="15" w:type="dxa"/>
              <w:bottom w:w="0" w:type="dxa"/>
              <w:right w:w="15" w:type="dxa"/>
            </w:tcMar>
            <w:vAlign w:val="center"/>
            <w:hideMark/>
          </w:tcPr>
          <w:p w14:paraId="589EDD91" w14:textId="7718F77F" w:rsidR="000E6498" w:rsidRPr="00FA4E0A" w:rsidRDefault="000E6498" w:rsidP="0044296A">
            <w:pPr>
              <w:spacing w:after="0" w:line="240" w:lineRule="auto"/>
              <w:jc w:val="center"/>
              <w:textAlignment w:val="center"/>
              <w:rPr>
                <w:rFonts w:ascii="Arial" w:eastAsia="Times New Roman" w:hAnsi="Arial" w:cs="Arial"/>
                <w:sz w:val="20"/>
                <w:szCs w:val="20"/>
                <w:lang w:eastAsia="es-MX"/>
              </w:rPr>
            </w:pPr>
            <w:r>
              <w:rPr>
                <w:rFonts w:ascii="Arial" w:eastAsia="Times New Roman" w:hAnsi="Arial" w:cs="Arial"/>
                <w:sz w:val="20"/>
                <w:szCs w:val="20"/>
                <w:lang w:eastAsia="es-MX"/>
              </w:rPr>
              <w:t>18</w:t>
            </w:r>
          </w:p>
        </w:tc>
        <w:tc>
          <w:tcPr>
            <w:tcW w:w="2203" w:type="dxa"/>
            <w:tcBorders>
              <w:top w:val="single" w:sz="4" w:space="0" w:color="auto"/>
            </w:tcBorders>
            <w:shd w:val="clear" w:color="auto" w:fill="auto"/>
            <w:tcMar>
              <w:top w:w="15" w:type="dxa"/>
              <w:left w:w="15" w:type="dxa"/>
              <w:bottom w:w="0" w:type="dxa"/>
              <w:right w:w="15" w:type="dxa"/>
            </w:tcMar>
            <w:vAlign w:val="center"/>
            <w:hideMark/>
          </w:tcPr>
          <w:p w14:paraId="61A6EF6C" w14:textId="5EB33B11" w:rsidR="000E6498" w:rsidRPr="00962AF8" w:rsidRDefault="00962AF8" w:rsidP="0044296A">
            <w:pPr>
              <w:spacing w:after="0" w:line="240" w:lineRule="auto"/>
              <w:jc w:val="center"/>
              <w:textAlignment w:val="center"/>
              <w:rPr>
                <w:rFonts w:ascii="Arial" w:eastAsia="Times New Roman" w:hAnsi="Arial" w:cs="Arial"/>
                <w:sz w:val="20"/>
                <w:szCs w:val="20"/>
                <w:lang w:eastAsia="es-MX"/>
              </w:rPr>
            </w:pPr>
            <w:r w:rsidRPr="00962AF8">
              <w:rPr>
                <w:rFonts w:ascii="Arial" w:hAnsi="Arial" w:cs="Arial"/>
                <w:color w:val="000000"/>
                <w:sz w:val="20"/>
                <w:szCs w:val="20"/>
              </w:rPr>
              <w:t>4.72</w:t>
            </w:r>
            <w:r w:rsidR="000E6498" w:rsidRPr="00962AF8">
              <w:rPr>
                <w:rFonts w:ascii="Arial" w:hAnsi="Arial" w:cs="Arial"/>
                <w:color w:val="000000"/>
                <w:sz w:val="20"/>
                <w:szCs w:val="20"/>
              </w:rPr>
              <w:t>x10</w:t>
            </w:r>
            <w:r w:rsidRPr="00962AF8">
              <w:rPr>
                <w:rFonts w:ascii="Arial" w:hAnsi="Arial" w:cs="Arial"/>
                <w:color w:val="000000"/>
                <w:sz w:val="20"/>
                <w:szCs w:val="20"/>
                <w:vertAlign w:val="superscript"/>
              </w:rPr>
              <w:t>6</w:t>
            </w:r>
          </w:p>
        </w:tc>
      </w:tr>
      <w:tr w:rsidR="000E6498" w:rsidRPr="008328D3" w14:paraId="7AB47A62" w14:textId="77777777" w:rsidTr="0044296A">
        <w:trPr>
          <w:trHeight w:val="250"/>
        </w:trPr>
        <w:tc>
          <w:tcPr>
            <w:tcW w:w="2322" w:type="dxa"/>
            <w:shd w:val="clear" w:color="auto" w:fill="auto"/>
            <w:tcMar>
              <w:top w:w="15" w:type="dxa"/>
              <w:left w:w="15" w:type="dxa"/>
              <w:bottom w:w="0" w:type="dxa"/>
              <w:right w:w="15" w:type="dxa"/>
            </w:tcMar>
            <w:vAlign w:val="center"/>
            <w:hideMark/>
          </w:tcPr>
          <w:p w14:paraId="009BC963" w14:textId="77777777" w:rsidR="000E6498" w:rsidRPr="00A634EB" w:rsidRDefault="000E6498" w:rsidP="0044296A">
            <w:pPr>
              <w:spacing w:after="0" w:line="240" w:lineRule="auto"/>
              <w:jc w:val="center"/>
              <w:textAlignment w:val="center"/>
              <w:rPr>
                <w:rFonts w:ascii="Arial" w:eastAsia="Times New Roman" w:hAnsi="Arial" w:cs="Arial"/>
                <w:sz w:val="20"/>
                <w:szCs w:val="20"/>
                <w:lang w:eastAsia="es-MX"/>
              </w:rPr>
            </w:pPr>
            <w:r w:rsidRPr="00A634EB">
              <w:rPr>
                <w:rFonts w:ascii="Arial" w:eastAsiaTheme="minorEastAsia" w:hAnsi="Arial" w:cs="Arial"/>
                <w:i/>
                <w:iCs/>
                <w:color w:val="000000" w:themeColor="text1"/>
                <w:kern w:val="24"/>
                <w:sz w:val="20"/>
                <w:szCs w:val="20"/>
                <w:lang w:eastAsia="es-MX"/>
              </w:rPr>
              <w:t xml:space="preserve">S. </w:t>
            </w:r>
            <w:proofErr w:type="spellStart"/>
            <w:r w:rsidRPr="00A634EB">
              <w:rPr>
                <w:rFonts w:ascii="Arial" w:eastAsiaTheme="minorEastAsia" w:hAnsi="Arial" w:cs="Arial"/>
                <w:i/>
                <w:iCs/>
                <w:color w:val="000000" w:themeColor="text1"/>
                <w:kern w:val="24"/>
                <w:sz w:val="20"/>
                <w:szCs w:val="20"/>
                <w:lang w:eastAsia="es-MX"/>
              </w:rPr>
              <w:t>rubrotinctum</w:t>
            </w:r>
            <w:proofErr w:type="spellEnd"/>
          </w:p>
        </w:tc>
        <w:tc>
          <w:tcPr>
            <w:tcW w:w="4324" w:type="dxa"/>
            <w:shd w:val="clear" w:color="auto" w:fill="auto"/>
            <w:tcMar>
              <w:top w:w="15" w:type="dxa"/>
              <w:left w:w="15" w:type="dxa"/>
              <w:bottom w:w="0" w:type="dxa"/>
              <w:right w:w="15" w:type="dxa"/>
            </w:tcMar>
            <w:vAlign w:val="center"/>
            <w:hideMark/>
          </w:tcPr>
          <w:p w14:paraId="73898FA3" w14:textId="0706C5E2" w:rsidR="000E6498" w:rsidRPr="00FA4E0A" w:rsidRDefault="000E6498" w:rsidP="0044296A">
            <w:pPr>
              <w:spacing w:after="0" w:line="240" w:lineRule="auto"/>
              <w:jc w:val="center"/>
              <w:textAlignment w:val="center"/>
              <w:rPr>
                <w:rFonts w:ascii="Arial" w:eastAsia="Times New Roman" w:hAnsi="Arial" w:cs="Arial"/>
                <w:sz w:val="20"/>
                <w:szCs w:val="20"/>
                <w:lang w:eastAsia="es-MX"/>
              </w:rPr>
            </w:pPr>
            <w:r>
              <w:rPr>
                <w:rFonts w:ascii="Arial" w:eastAsia="Times New Roman" w:hAnsi="Arial" w:cs="Arial"/>
                <w:sz w:val="20"/>
                <w:szCs w:val="20"/>
                <w:lang w:eastAsia="es-MX"/>
              </w:rPr>
              <w:t>18</w:t>
            </w:r>
          </w:p>
        </w:tc>
        <w:tc>
          <w:tcPr>
            <w:tcW w:w="2203" w:type="dxa"/>
            <w:shd w:val="clear" w:color="auto" w:fill="auto"/>
            <w:tcMar>
              <w:top w:w="15" w:type="dxa"/>
              <w:left w:w="15" w:type="dxa"/>
              <w:bottom w:w="0" w:type="dxa"/>
              <w:right w:w="15" w:type="dxa"/>
            </w:tcMar>
            <w:vAlign w:val="center"/>
            <w:hideMark/>
          </w:tcPr>
          <w:p w14:paraId="7F5854A7" w14:textId="383BD1DD" w:rsidR="000E6498" w:rsidRPr="00FA4E0A" w:rsidRDefault="00962AF8" w:rsidP="0044296A">
            <w:pPr>
              <w:spacing w:after="0" w:line="240" w:lineRule="auto"/>
              <w:jc w:val="center"/>
              <w:textAlignment w:val="center"/>
              <w:rPr>
                <w:rFonts w:ascii="Arial" w:eastAsia="Times New Roman" w:hAnsi="Arial" w:cs="Arial"/>
                <w:sz w:val="20"/>
                <w:szCs w:val="20"/>
                <w:lang w:eastAsia="es-MX"/>
              </w:rPr>
            </w:pPr>
            <w:r w:rsidRPr="00962AF8">
              <w:rPr>
                <w:rFonts w:ascii="Arial" w:hAnsi="Arial" w:cs="Arial"/>
                <w:color w:val="000000"/>
                <w:sz w:val="20"/>
                <w:szCs w:val="20"/>
              </w:rPr>
              <w:t>4.72x10</w:t>
            </w:r>
            <w:r w:rsidRPr="00962AF8">
              <w:rPr>
                <w:rFonts w:ascii="Arial" w:hAnsi="Arial" w:cs="Arial"/>
                <w:color w:val="000000"/>
                <w:sz w:val="20"/>
                <w:szCs w:val="20"/>
                <w:vertAlign w:val="superscript"/>
              </w:rPr>
              <w:t>6</w:t>
            </w:r>
          </w:p>
        </w:tc>
      </w:tr>
      <w:tr w:rsidR="000E6498" w:rsidRPr="00962AF8" w14:paraId="6455EC8A" w14:textId="77777777" w:rsidTr="0044296A">
        <w:trPr>
          <w:trHeight w:val="250"/>
        </w:trPr>
        <w:tc>
          <w:tcPr>
            <w:tcW w:w="2322" w:type="dxa"/>
            <w:tcBorders>
              <w:bottom w:val="single" w:sz="4" w:space="0" w:color="auto"/>
            </w:tcBorders>
            <w:shd w:val="clear" w:color="auto" w:fill="auto"/>
            <w:tcMar>
              <w:top w:w="15" w:type="dxa"/>
              <w:left w:w="15" w:type="dxa"/>
              <w:bottom w:w="0" w:type="dxa"/>
              <w:right w:w="15" w:type="dxa"/>
            </w:tcMar>
            <w:vAlign w:val="center"/>
            <w:hideMark/>
          </w:tcPr>
          <w:p w14:paraId="78C7FB35" w14:textId="77777777" w:rsidR="000E6498" w:rsidRPr="00962AF8" w:rsidRDefault="000E6498" w:rsidP="0044296A">
            <w:pPr>
              <w:spacing w:after="0" w:line="240" w:lineRule="auto"/>
              <w:jc w:val="center"/>
              <w:textAlignment w:val="center"/>
              <w:rPr>
                <w:rFonts w:ascii="Arial" w:eastAsia="Times New Roman" w:hAnsi="Arial" w:cs="Arial"/>
                <w:sz w:val="20"/>
                <w:szCs w:val="20"/>
                <w:lang w:eastAsia="es-MX"/>
              </w:rPr>
            </w:pPr>
            <w:r w:rsidRPr="00962AF8">
              <w:rPr>
                <w:rFonts w:ascii="Arial" w:eastAsiaTheme="minorEastAsia" w:hAnsi="Arial" w:cs="Arial"/>
                <w:b/>
                <w:bCs/>
                <w:color w:val="000000" w:themeColor="text1"/>
                <w:kern w:val="24"/>
                <w:sz w:val="20"/>
                <w:szCs w:val="20"/>
                <w:lang w:eastAsia="es-MX"/>
              </w:rPr>
              <w:t>Total</w:t>
            </w:r>
          </w:p>
        </w:tc>
        <w:tc>
          <w:tcPr>
            <w:tcW w:w="4324" w:type="dxa"/>
            <w:tcBorders>
              <w:bottom w:val="single" w:sz="4" w:space="0" w:color="auto"/>
            </w:tcBorders>
            <w:shd w:val="clear" w:color="auto" w:fill="auto"/>
            <w:tcMar>
              <w:top w:w="15" w:type="dxa"/>
              <w:left w:w="15" w:type="dxa"/>
              <w:bottom w:w="0" w:type="dxa"/>
              <w:right w:w="15" w:type="dxa"/>
            </w:tcMar>
            <w:vAlign w:val="center"/>
            <w:hideMark/>
          </w:tcPr>
          <w:p w14:paraId="2AFD18F7" w14:textId="1EF112F6" w:rsidR="000E6498" w:rsidRPr="00962AF8" w:rsidRDefault="000E6498" w:rsidP="0044296A">
            <w:pPr>
              <w:spacing w:after="0" w:line="240" w:lineRule="auto"/>
              <w:jc w:val="center"/>
              <w:textAlignment w:val="center"/>
              <w:rPr>
                <w:rFonts w:ascii="Arial" w:eastAsia="Times New Roman" w:hAnsi="Arial" w:cs="Arial"/>
                <w:sz w:val="20"/>
                <w:szCs w:val="20"/>
                <w:lang w:eastAsia="es-MX"/>
              </w:rPr>
            </w:pPr>
            <w:r w:rsidRPr="00962AF8">
              <w:rPr>
                <w:rFonts w:ascii="Arial" w:hAnsi="Arial" w:cs="Arial"/>
                <w:color w:val="000000"/>
                <w:sz w:val="20"/>
                <w:szCs w:val="20"/>
              </w:rPr>
              <w:t>36</w:t>
            </w:r>
          </w:p>
        </w:tc>
        <w:tc>
          <w:tcPr>
            <w:tcW w:w="2203" w:type="dxa"/>
            <w:tcBorders>
              <w:bottom w:val="single" w:sz="4" w:space="0" w:color="auto"/>
            </w:tcBorders>
            <w:shd w:val="clear" w:color="auto" w:fill="auto"/>
            <w:tcMar>
              <w:top w:w="15" w:type="dxa"/>
              <w:left w:w="15" w:type="dxa"/>
              <w:bottom w:w="0" w:type="dxa"/>
              <w:right w:w="15" w:type="dxa"/>
            </w:tcMar>
            <w:vAlign w:val="center"/>
            <w:hideMark/>
          </w:tcPr>
          <w:p w14:paraId="4AB3872F" w14:textId="6812669A" w:rsidR="000E6498" w:rsidRPr="00962AF8" w:rsidRDefault="00962AF8" w:rsidP="0044296A">
            <w:pPr>
              <w:spacing w:after="0" w:line="240" w:lineRule="auto"/>
              <w:jc w:val="center"/>
              <w:textAlignment w:val="center"/>
              <w:rPr>
                <w:rFonts w:ascii="Arial" w:eastAsia="Times New Roman" w:hAnsi="Arial" w:cs="Arial"/>
                <w:sz w:val="20"/>
                <w:szCs w:val="20"/>
                <w:lang w:eastAsia="es-MX"/>
              </w:rPr>
            </w:pPr>
            <w:r w:rsidRPr="00962AF8">
              <w:rPr>
                <w:rFonts w:ascii="Arial" w:hAnsi="Arial" w:cs="Arial"/>
                <w:color w:val="000000"/>
                <w:sz w:val="20"/>
                <w:szCs w:val="20"/>
              </w:rPr>
              <w:t>9.43</w:t>
            </w:r>
            <w:r w:rsidR="000E6498" w:rsidRPr="00962AF8">
              <w:rPr>
                <w:rFonts w:ascii="Arial" w:hAnsi="Arial" w:cs="Arial"/>
                <w:color w:val="000000"/>
                <w:sz w:val="20"/>
                <w:szCs w:val="20"/>
              </w:rPr>
              <w:t xml:space="preserve"> x10</w:t>
            </w:r>
            <w:r w:rsidRPr="00962AF8">
              <w:rPr>
                <w:rFonts w:ascii="Arial" w:hAnsi="Arial" w:cs="Arial"/>
                <w:color w:val="000000"/>
                <w:sz w:val="20"/>
                <w:szCs w:val="20"/>
                <w:vertAlign w:val="superscript"/>
              </w:rPr>
              <w:t>6</w:t>
            </w:r>
          </w:p>
        </w:tc>
      </w:tr>
    </w:tbl>
    <w:p w14:paraId="4F605B80" w14:textId="77777777" w:rsidR="000E6498" w:rsidRPr="00962AF8" w:rsidRDefault="000E6498" w:rsidP="000E6498">
      <w:pPr>
        <w:spacing w:after="0" w:line="240" w:lineRule="auto"/>
        <w:rPr>
          <w:rFonts w:ascii="Arial" w:hAnsi="Arial" w:cs="Arial"/>
          <w:color w:val="000000"/>
          <w:sz w:val="20"/>
          <w:szCs w:val="20"/>
        </w:rPr>
      </w:pPr>
      <w:r w:rsidRPr="00962AF8">
        <w:rPr>
          <w:rFonts w:ascii="Arial" w:hAnsi="Arial" w:cs="Arial"/>
          <w:b/>
          <w:bCs/>
          <w:color w:val="000000"/>
          <w:sz w:val="20"/>
          <w:szCs w:val="20"/>
        </w:rPr>
        <w:t>Fuente:</w:t>
      </w:r>
      <w:r w:rsidRPr="00962AF8">
        <w:rPr>
          <w:rFonts w:ascii="Arial" w:hAnsi="Arial" w:cs="Arial"/>
          <w:color w:val="000000"/>
          <w:sz w:val="20"/>
          <w:szCs w:val="20"/>
        </w:rPr>
        <w:t xml:space="preserve"> Elaboración propia</w:t>
      </w:r>
    </w:p>
    <w:p w14:paraId="62F15A3A" w14:textId="77777777" w:rsidR="00A96D5E" w:rsidRDefault="00A96D5E" w:rsidP="000F7F04">
      <w:pPr>
        <w:jc w:val="both"/>
        <w:rPr>
          <w:rFonts w:ascii="Arial" w:hAnsi="Arial" w:cs="Arial"/>
          <w:sz w:val="24"/>
          <w:szCs w:val="24"/>
        </w:rPr>
      </w:pPr>
    </w:p>
    <w:p w14:paraId="653123FA" w14:textId="5C218A3B" w:rsidR="00BD1036" w:rsidRDefault="00BD1036" w:rsidP="001A56EE">
      <w:pPr>
        <w:spacing w:line="360" w:lineRule="auto"/>
        <w:jc w:val="both"/>
        <w:rPr>
          <w:rFonts w:ascii="Arial" w:hAnsi="Arial" w:cs="Arial"/>
          <w:sz w:val="24"/>
          <w:szCs w:val="24"/>
        </w:rPr>
      </w:pPr>
      <w:r>
        <w:rPr>
          <w:rFonts w:ascii="Arial" w:hAnsi="Arial" w:cs="Arial"/>
          <w:sz w:val="24"/>
          <w:szCs w:val="24"/>
        </w:rPr>
        <w:t>Preliminarmente se observó que el 100% de l</w:t>
      </w:r>
      <w:r w:rsidR="00CE6FE9">
        <w:rPr>
          <w:rFonts w:ascii="Arial" w:hAnsi="Arial" w:cs="Arial"/>
          <w:sz w:val="24"/>
          <w:szCs w:val="24"/>
        </w:rPr>
        <w:t xml:space="preserve">os ejemplares de </w:t>
      </w:r>
      <w:r w:rsidR="00CE6FE9" w:rsidRPr="00CE6FE9">
        <w:rPr>
          <w:rFonts w:ascii="Arial" w:hAnsi="Arial" w:cs="Arial"/>
          <w:i/>
          <w:iCs/>
          <w:sz w:val="24"/>
          <w:szCs w:val="24"/>
        </w:rPr>
        <w:t xml:space="preserve">S. </w:t>
      </w:r>
      <w:proofErr w:type="spellStart"/>
      <w:r w:rsidR="00CE6FE9" w:rsidRPr="00CE6FE9">
        <w:rPr>
          <w:rFonts w:ascii="Arial" w:hAnsi="Arial" w:cs="Arial"/>
          <w:i/>
          <w:iCs/>
          <w:sz w:val="24"/>
          <w:szCs w:val="24"/>
        </w:rPr>
        <w:t>dendroideum</w:t>
      </w:r>
      <w:proofErr w:type="spellEnd"/>
      <w:r w:rsidR="00CE6FE9">
        <w:rPr>
          <w:rFonts w:ascii="Arial" w:hAnsi="Arial" w:cs="Arial"/>
          <w:i/>
          <w:iCs/>
          <w:sz w:val="24"/>
          <w:szCs w:val="24"/>
        </w:rPr>
        <w:t xml:space="preserve"> </w:t>
      </w:r>
      <w:r w:rsidR="00CE6FE9" w:rsidRPr="00CE6FE9">
        <w:rPr>
          <w:rFonts w:ascii="Arial" w:hAnsi="Arial" w:cs="Arial"/>
          <w:sz w:val="24"/>
          <w:szCs w:val="24"/>
        </w:rPr>
        <w:t xml:space="preserve">sembrados con tallos desnudos con </w:t>
      </w:r>
      <w:r w:rsidR="004051FB">
        <w:rPr>
          <w:rFonts w:ascii="Arial" w:hAnsi="Arial" w:cs="Arial"/>
          <w:sz w:val="24"/>
          <w:szCs w:val="24"/>
        </w:rPr>
        <w:t xml:space="preserve">una </w:t>
      </w:r>
      <w:r w:rsidR="00CE6FE9" w:rsidRPr="00CE6FE9">
        <w:rPr>
          <w:rFonts w:ascii="Arial" w:hAnsi="Arial" w:cs="Arial"/>
          <w:sz w:val="24"/>
          <w:szCs w:val="24"/>
        </w:rPr>
        <w:t xml:space="preserve">cobertura foliar </w:t>
      </w:r>
      <w:r w:rsidR="004051FB">
        <w:rPr>
          <w:rFonts w:ascii="Arial" w:hAnsi="Arial" w:cs="Arial"/>
          <w:sz w:val="24"/>
          <w:szCs w:val="24"/>
        </w:rPr>
        <w:t>del 100%</w:t>
      </w:r>
      <w:r w:rsidR="000C454E">
        <w:rPr>
          <w:rFonts w:ascii="Arial" w:hAnsi="Arial" w:cs="Arial"/>
          <w:sz w:val="24"/>
          <w:szCs w:val="24"/>
        </w:rPr>
        <w:t xml:space="preserve"> (</w:t>
      </w:r>
      <w:r w:rsidR="001A56EE">
        <w:rPr>
          <w:rFonts w:ascii="Arial" w:hAnsi="Arial" w:cs="Arial"/>
          <w:sz w:val="24"/>
          <w:szCs w:val="24"/>
        </w:rPr>
        <w:t>F</w:t>
      </w:r>
      <w:r w:rsidR="000C454E">
        <w:rPr>
          <w:rFonts w:ascii="Arial" w:hAnsi="Arial" w:cs="Arial"/>
          <w:sz w:val="24"/>
          <w:szCs w:val="24"/>
        </w:rPr>
        <w:t xml:space="preserve">igura </w:t>
      </w:r>
      <w:r w:rsidR="001A56EE">
        <w:rPr>
          <w:rFonts w:ascii="Arial" w:hAnsi="Arial" w:cs="Arial"/>
          <w:sz w:val="24"/>
          <w:szCs w:val="24"/>
        </w:rPr>
        <w:t>4</w:t>
      </w:r>
      <w:r w:rsidR="000C454E">
        <w:rPr>
          <w:rFonts w:ascii="Arial" w:hAnsi="Arial" w:cs="Arial"/>
          <w:sz w:val="24"/>
          <w:szCs w:val="24"/>
        </w:rPr>
        <w:t>)</w:t>
      </w:r>
      <w:r w:rsidR="008E6F3F">
        <w:rPr>
          <w:rFonts w:ascii="Arial" w:hAnsi="Arial" w:cs="Arial"/>
          <w:sz w:val="24"/>
          <w:szCs w:val="24"/>
        </w:rPr>
        <w:t xml:space="preserve"> con </w:t>
      </w:r>
      <w:r w:rsidR="005A1A18">
        <w:rPr>
          <w:rFonts w:ascii="Arial" w:hAnsi="Arial" w:cs="Arial"/>
          <w:sz w:val="24"/>
          <w:szCs w:val="24"/>
        </w:rPr>
        <w:lastRenderedPageBreak/>
        <w:t>brotes nuevos</w:t>
      </w:r>
      <w:r w:rsidR="004051FB">
        <w:rPr>
          <w:rFonts w:ascii="Arial" w:hAnsi="Arial" w:cs="Arial"/>
          <w:sz w:val="24"/>
          <w:szCs w:val="24"/>
        </w:rPr>
        <w:t xml:space="preserve">, lo cual indica que el sustrato que se ha combinado y enriquecido indirectamente por la combinación del MOR empleado en la capa </w:t>
      </w:r>
      <w:r w:rsidR="003B2193">
        <w:rPr>
          <w:rFonts w:ascii="Arial" w:hAnsi="Arial" w:cs="Arial"/>
          <w:sz w:val="24"/>
          <w:szCs w:val="24"/>
        </w:rPr>
        <w:t>drenante</w:t>
      </w:r>
      <w:r w:rsidR="004051FB">
        <w:rPr>
          <w:rFonts w:ascii="Arial" w:hAnsi="Arial" w:cs="Arial"/>
          <w:sz w:val="24"/>
          <w:szCs w:val="24"/>
        </w:rPr>
        <w:t xml:space="preserve"> fomenta el desarrollo de la flora.</w:t>
      </w:r>
      <w:r w:rsidR="000C454E">
        <w:rPr>
          <w:rFonts w:ascii="Arial" w:hAnsi="Arial" w:cs="Arial"/>
          <w:sz w:val="24"/>
          <w:szCs w:val="24"/>
        </w:rPr>
        <w:t xml:space="preserve"> En tanto que para el caso de </w:t>
      </w:r>
      <w:r w:rsidR="000C454E" w:rsidRPr="000C454E">
        <w:rPr>
          <w:rFonts w:ascii="Arial" w:hAnsi="Arial" w:cs="Arial"/>
          <w:i/>
          <w:iCs/>
          <w:sz w:val="24"/>
          <w:szCs w:val="24"/>
        </w:rPr>
        <w:t xml:space="preserve">S. </w:t>
      </w:r>
      <w:proofErr w:type="spellStart"/>
      <w:r w:rsidR="000C454E" w:rsidRPr="000C454E">
        <w:rPr>
          <w:rFonts w:ascii="Arial" w:hAnsi="Arial" w:cs="Arial"/>
          <w:i/>
          <w:iCs/>
          <w:sz w:val="24"/>
          <w:szCs w:val="24"/>
        </w:rPr>
        <w:t>rubrotinctum</w:t>
      </w:r>
      <w:proofErr w:type="spellEnd"/>
      <w:r w:rsidR="003B2193">
        <w:rPr>
          <w:rFonts w:ascii="Arial" w:hAnsi="Arial" w:cs="Arial"/>
          <w:i/>
          <w:iCs/>
          <w:sz w:val="24"/>
          <w:szCs w:val="24"/>
        </w:rPr>
        <w:t xml:space="preserve"> </w:t>
      </w:r>
      <w:r w:rsidR="003B2193" w:rsidRPr="003B2193">
        <w:rPr>
          <w:rFonts w:ascii="Arial" w:hAnsi="Arial" w:cs="Arial"/>
          <w:sz w:val="24"/>
          <w:szCs w:val="24"/>
        </w:rPr>
        <w:t>solo</w:t>
      </w:r>
      <w:r w:rsidR="000C454E">
        <w:rPr>
          <w:rFonts w:ascii="Arial" w:hAnsi="Arial" w:cs="Arial"/>
          <w:i/>
          <w:iCs/>
          <w:sz w:val="24"/>
          <w:szCs w:val="24"/>
        </w:rPr>
        <w:t xml:space="preserve"> </w:t>
      </w:r>
      <w:r w:rsidR="00AE4FFA">
        <w:rPr>
          <w:rFonts w:ascii="Arial" w:hAnsi="Arial" w:cs="Arial"/>
          <w:sz w:val="24"/>
          <w:szCs w:val="24"/>
        </w:rPr>
        <w:t xml:space="preserve">el 25% de sus ejemplares florearon, y del 100% se observa un crecimiento </w:t>
      </w:r>
      <w:r w:rsidR="008E6F3F">
        <w:rPr>
          <w:rFonts w:ascii="Arial" w:hAnsi="Arial" w:cs="Arial"/>
          <w:sz w:val="24"/>
          <w:szCs w:val="24"/>
        </w:rPr>
        <w:t>en sus ramificaciones con hojas nuevas</w:t>
      </w:r>
      <w:r w:rsidR="005A1A18">
        <w:rPr>
          <w:rFonts w:ascii="Arial" w:hAnsi="Arial" w:cs="Arial"/>
          <w:sz w:val="24"/>
          <w:szCs w:val="24"/>
        </w:rPr>
        <w:t xml:space="preserve"> (</w:t>
      </w:r>
      <w:r w:rsidR="001A56EE">
        <w:rPr>
          <w:rFonts w:ascii="Arial" w:hAnsi="Arial" w:cs="Arial"/>
          <w:sz w:val="24"/>
          <w:szCs w:val="24"/>
        </w:rPr>
        <w:t>F</w:t>
      </w:r>
      <w:r w:rsidR="005A1A18">
        <w:rPr>
          <w:rFonts w:ascii="Arial" w:hAnsi="Arial" w:cs="Arial"/>
          <w:sz w:val="24"/>
          <w:szCs w:val="24"/>
        </w:rPr>
        <w:t xml:space="preserve">igura </w:t>
      </w:r>
      <w:r w:rsidR="001A56EE">
        <w:rPr>
          <w:rFonts w:ascii="Arial" w:hAnsi="Arial" w:cs="Arial"/>
          <w:sz w:val="24"/>
          <w:szCs w:val="24"/>
        </w:rPr>
        <w:t>5</w:t>
      </w:r>
      <w:r w:rsidR="005A1A18">
        <w:rPr>
          <w:rFonts w:ascii="Arial" w:hAnsi="Arial" w:cs="Arial"/>
          <w:sz w:val="24"/>
          <w:szCs w:val="24"/>
        </w:rPr>
        <w:t>)</w:t>
      </w:r>
      <w:r w:rsidR="008E6F3F">
        <w:rPr>
          <w:rFonts w:ascii="Arial" w:hAnsi="Arial" w:cs="Arial"/>
          <w:sz w:val="24"/>
          <w:szCs w:val="24"/>
        </w:rPr>
        <w:t>.</w:t>
      </w:r>
    </w:p>
    <w:p w14:paraId="03303B28" w14:textId="77777777" w:rsidR="003B2193" w:rsidRDefault="00EA0A0B" w:rsidP="003B2193">
      <w:pPr>
        <w:keepNext/>
        <w:jc w:val="both"/>
      </w:pPr>
      <w:r>
        <w:rPr>
          <w:noProof/>
        </w:rPr>
        <mc:AlternateContent>
          <mc:Choice Requires="wps">
            <w:drawing>
              <wp:anchor distT="0" distB="0" distL="114300" distR="114300" simplePos="0" relativeHeight="251665408" behindDoc="0" locked="0" layoutInCell="1" allowOverlap="1" wp14:anchorId="0D31264F" wp14:editId="1D681A4A">
                <wp:simplePos x="0" y="0"/>
                <wp:positionH relativeFrom="column">
                  <wp:posOffset>635910</wp:posOffset>
                </wp:positionH>
                <wp:positionV relativeFrom="paragraph">
                  <wp:posOffset>1139022</wp:posOffset>
                </wp:positionV>
                <wp:extent cx="714363" cy="957533"/>
                <wp:effectExtent l="0" t="0" r="10160" b="14605"/>
                <wp:wrapNone/>
                <wp:docPr id="468902392" name="Elipse 2"/>
                <wp:cNvGraphicFramePr/>
                <a:graphic xmlns:a="http://schemas.openxmlformats.org/drawingml/2006/main">
                  <a:graphicData uri="http://schemas.microsoft.com/office/word/2010/wordprocessingShape">
                    <wps:wsp>
                      <wps:cNvSpPr/>
                      <wps:spPr>
                        <a:xfrm>
                          <a:off x="0" y="0"/>
                          <a:ext cx="714363" cy="95753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66DF4" id="Elipse 2" o:spid="_x0000_s1026" style="position:absolute;margin-left:50.05pt;margin-top:89.7pt;width:56.25pt;height:7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" filled="f" strokecolor="red" strokeweight="1pt">
                <v:stroke joinstyle="miter"/>
              </v:oval>
            </w:pict>
          </mc:Fallback>
        </mc:AlternateContent>
      </w:r>
      <w:r>
        <w:rPr>
          <w:noProof/>
        </w:rPr>
        <w:drawing>
          <wp:inline distT="0" distB="0" distL="0" distR="0" wp14:anchorId="2DB12705" wp14:editId="15C31D85">
            <wp:extent cx="2495550" cy="1561755"/>
            <wp:effectExtent l="0" t="9208" r="0" b="0"/>
            <wp:docPr id="930585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6564"/>
                    <a:stretch/>
                  </pic:blipFill>
                  <pic:spPr bwMode="auto">
                    <a:xfrm rot="5400000">
                      <a:off x="0" y="0"/>
                      <a:ext cx="2495812" cy="1561919"/>
                    </a:xfrm>
                    <a:prstGeom prst="rect">
                      <a:avLst/>
                    </a:prstGeom>
                    <a:noFill/>
                    <a:ln>
                      <a:noFill/>
                    </a:ln>
                    <a:extLst>
                      <a:ext uri="{53640926-AAD7-44D8-BBD7-CCE9431645EC}">
                        <a14:shadowObscured xmlns:a14="http://schemas.microsoft.com/office/drawing/2010/main"/>
                      </a:ext>
                    </a:extLst>
                  </pic:spPr>
                </pic:pic>
              </a:graphicData>
            </a:graphic>
          </wp:inline>
        </w:drawing>
      </w:r>
    </w:p>
    <w:p w14:paraId="44ECA904" w14:textId="104D781B" w:rsidR="00EA0A0B" w:rsidRPr="003B2193" w:rsidRDefault="003B2193" w:rsidP="003B2193">
      <w:pPr>
        <w:pStyle w:val="Descripcin"/>
        <w:jc w:val="both"/>
        <w:rPr>
          <w:rFonts w:ascii="Arial" w:hAnsi="Arial" w:cs="Arial"/>
          <w:b/>
          <w:bCs/>
          <w:color w:val="auto"/>
          <w:sz w:val="28"/>
          <w:szCs w:val="28"/>
        </w:rPr>
      </w:pPr>
      <w:r w:rsidRPr="003B2193">
        <w:rPr>
          <w:rFonts w:ascii="Arial" w:hAnsi="Arial" w:cs="Arial"/>
          <w:b/>
          <w:bCs/>
          <w:i w:val="0"/>
          <w:iCs w:val="0"/>
          <w:color w:val="auto"/>
          <w:sz w:val="20"/>
          <w:szCs w:val="20"/>
        </w:rPr>
        <w:t xml:space="preserve">Figura </w:t>
      </w:r>
      <w:r w:rsidRPr="003B2193">
        <w:rPr>
          <w:rFonts w:ascii="Arial" w:hAnsi="Arial" w:cs="Arial"/>
          <w:b/>
          <w:bCs/>
          <w:i w:val="0"/>
          <w:iCs w:val="0"/>
          <w:color w:val="auto"/>
          <w:sz w:val="20"/>
          <w:szCs w:val="20"/>
        </w:rPr>
        <w:fldChar w:fldCharType="begin"/>
      </w:r>
      <w:r w:rsidRPr="003B2193">
        <w:rPr>
          <w:rFonts w:ascii="Arial" w:hAnsi="Arial" w:cs="Arial"/>
          <w:b/>
          <w:bCs/>
          <w:i w:val="0"/>
          <w:iCs w:val="0"/>
          <w:color w:val="auto"/>
          <w:sz w:val="20"/>
          <w:szCs w:val="20"/>
        </w:rPr>
        <w:instrText xml:space="preserve"> SEQ Figura \* ARABIC </w:instrText>
      </w:r>
      <w:r w:rsidRPr="003B2193">
        <w:rPr>
          <w:rFonts w:ascii="Arial" w:hAnsi="Arial" w:cs="Arial"/>
          <w:b/>
          <w:bCs/>
          <w:i w:val="0"/>
          <w:iCs w:val="0"/>
          <w:color w:val="auto"/>
          <w:sz w:val="20"/>
          <w:szCs w:val="20"/>
        </w:rPr>
        <w:fldChar w:fldCharType="separate"/>
      </w:r>
      <w:r w:rsidR="00936848">
        <w:rPr>
          <w:rFonts w:ascii="Arial" w:hAnsi="Arial" w:cs="Arial"/>
          <w:b/>
          <w:bCs/>
          <w:i w:val="0"/>
          <w:iCs w:val="0"/>
          <w:noProof/>
          <w:color w:val="auto"/>
          <w:sz w:val="20"/>
          <w:szCs w:val="20"/>
        </w:rPr>
        <w:t>6</w:t>
      </w:r>
      <w:r w:rsidRPr="003B2193">
        <w:rPr>
          <w:rFonts w:ascii="Arial" w:hAnsi="Arial" w:cs="Arial"/>
          <w:b/>
          <w:bCs/>
          <w:i w:val="0"/>
          <w:iCs w:val="0"/>
          <w:color w:val="auto"/>
          <w:sz w:val="20"/>
          <w:szCs w:val="20"/>
        </w:rPr>
        <w:fldChar w:fldCharType="end"/>
      </w:r>
      <w:r w:rsidRPr="003B2193">
        <w:rPr>
          <w:rFonts w:ascii="Arial" w:hAnsi="Arial" w:cs="Arial"/>
          <w:b/>
          <w:bCs/>
          <w:i w:val="0"/>
          <w:iCs w:val="0"/>
          <w:color w:val="auto"/>
          <w:sz w:val="20"/>
          <w:szCs w:val="20"/>
        </w:rPr>
        <w:t xml:space="preserve">. </w:t>
      </w:r>
      <w:r w:rsidRPr="003B2193">
        <w:rPr>
          <w:rFonts w:ascii="Arial" w:hAnsi="Arial" w:cs="Arial"/>
          <w:i w:val="0"/>
          <w:iCs w:val="0"/>
          <w:color w:val="auto"/>
          <w:sz w:val="20"/>
          <w:szCs w:val="20"/>
        </w:rPr>
        <w:t xml:space="preserve">Observación de aumento foliar en </w:t>
      </w:r>
      <w:r w:rsidRPr="003B2193">
        <w:rPr>
          <w:rFonts w:ascii="Arial" w:hAnsi="Arial" w:cs="Arial"/>
          <w:color w:val="auto"/>
          <w:sz w:val="20"/>
          <w:szCs w:val="20"/>
        </w:rPr>
        <w:t xml:space="preserve">S. </w:t>
      </w:r>
      <w:proofErr w:type="spellStart"/>
      <w:r w:rsidRPr="003B2193">
        <w:rPr>
          <w:rFonts w:ascii="Arial" w:hAnsi="Arial" w:cs="Arial"/>
          <w:color w:val="auto"/>
          <w:sz w:val="20"/>
          <w:szCs w:val="20"/>
        </w:rPr>
        <w:t>dendroideum</w:t>
      </w:r>
      <w:proofErr w:type="spellEnd"/>
    </w:p>
    <w:p w14:paraId="5B2CD1B8" w14:textId="77777777" w:rsidR="00EA0A0B" w:rsidRDefault="00EA0A0B" w:rsidP="000F7F04">
      <w:pPr>
        <w:jc w:val="both"/>
        <w:rPr>
          <w:rFonts w:ascii="Arial" w:hAnsi="Arial" w:cs="Arial"/>
          <w:sz w:val="24"/>
          <w:szCs w:val="24"/>
        </w:rPr>
      </w:pPr>
    </w:p>
    <w:p w14:paraId="5866BF04" w14:textId="77777777" w:rsidR="003B2193" w:rsidRDefault="00472029" w:rsidP="003B2193">
      <w:pPr>
        <w:keepNext/>
        <w:jc w:val="both"/>
      </w:pPr>
      <w:r>
        <w:rPr>
          <w:noProof/>
        </w:rPr>
        <mc:AlternateContent>
          <mc:Choice Requires="wps">
            <w:drawing>
              <wp:anchor distT="0" distB="0" distL="114300" distR="114300" simplePos="0" relativeHeight="251663360" behindDoc="0" locked="0" layoutInCell="1" allowOverlap="1" wp14:anchorId="6381B0CF" wp14:editId="78F95778">
                <wp:simplePos x="0" y="0"/>
                <wp:positionH relativeFrom="column">
                  <wp:posOffset>319177</wp:posOffset>
                </wp:positionH>
                <wp:positionV relativeFrom="paragraph">
                  <wp:posOffset>970262</wp:posOffset>
                </wp:positionV>
                <wp:extent cx="817892" cy="957533"/>
                <wp:effectExtent l="0" t="0" r="20320" b="14605"/>
                <wp:wrapNone/>
                <wp:docPr id="263253970" name="Elipse 2"/>
                <wp:cNvGraphicFramePr/>
                <a:graphic xmlns:a="http://schemas.openxmlformats.org/drawingml/2006/main">
                  <a:graphicData uri="http://schemas.microsoft.com/office/word/2010/wordprocessingShape">
                    <wps:wsp>
                      <wps:cNvSpPr/>
                      <wps:spPr>
                        <a:xfrm>
                          <a:off x="0" y="0"/>
                          <a:ext cx="817892" cy="95753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54DC9" id="Elipse 2" o:spid="_x0000_s1026" style="position:absolute;margin-left:25.15pt;margin-top:76.4pt;width:64.4pt;height:7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" filled="f" strokecolor="red" strokeweight="1pt">
                <v:stroke joinstyle="miter"/>
              </v:oval>
            </w:pict>
          </mc:Fallback>
        </mc:AlternateContent>
      </w:r>
      <w:r>
        <w:rPr>
          <w:noProof/>
        </w:rPr>
        <w:drawing>
          <wp:inline distT="0" distB="0" distL="0" distR="0" wp14:anchorId="334D2D91" wp14:editId="64A29007">
            <wp:extent cx="1939376" cy="1872000"/>
            <wp:effectExtent l="0" t="4445" r="0" b="0"/>
            <wp:docPr id="845581833" name="Imagen 3" descr="Un jardín de flor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81833" name="Imagen 3" descr="Un jardín de flores&#10;&#10;Descripción generada automáticamente con confianza med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051" t="15202" r="15057"/>
                    <a:stretch/>
                  </pic:blipFill>
                  <pic:spPr bwMode="auto">
                    <a:xfrm rot="5400000">
                      <a:off x="0" y="0"/>
                      <a:ext cx="1939376" cy="1872000"/>
                    </a:xfrm>
                    <a:prstGeom prst="rect">
                      <a:avLst/>
                    </a:prstGeom>
                    <a:noFill/>
                    <a:ln>
                      <a:noFill/>
                    </a:ln>
                    <a:extLst>
                      <a:ext uri="{53640926-AAD7-44D8-BBD7-CCE9431645EC}">
                        <a14:shadowObscured xmlns:a14="http://schemas.microsoft.com/office/drawing/2010/main"/>
                      </a:ext>
                    </a:extLst>
                  </pic:spPr>
                </pic:pic>
              </a:graphicData>
            </a:graphic>
          </wp:inline>
        </w:drawing>
      </w:r>
    </w:p>
    <w:p w14:paraId="35AB4A9D" w14:textId="36C8C383" w:rsidR="00472029" w:rsidRDefault="003B2193" w:rsidP="003B2193">
      <w:pPr>
        <w:pStyle w:val="Descripcin"/>
        <w:jc w:val="both"/>
        <w:rPr>
          <w:rFonts w:ascii="Arial" w:hAnsi="Arial" w:cs="Arial"/>
          <w:sz w:val="24"/>
          <w:szCs w:val="24"/>
        </w:rPr>
      </w:pPr>
      <w:r w:rsidRPr="003B2193">
        <w:rPr>
          <w:rFonts w:ascii="Arial" w:hAnsi="Arial" w:cs="Arial"/>
          <w:b/>
          <w:bCs/>
          <w:i w:val="0"/>
          <w:iCs w:val="0"/>
          <w:noProof/>
          <w:color w:val="auto"/>
          <w:sz w:val="20"/>
          <w:szCs w:val="20"/>
        </w:rPr>
        <w:t xml:space="preserve">Figura </w:t>
      </w:r>
      <w:r w:rsidRPr="003B2193">
        <w:rPr>
          <w:rFonts w:ascii="Arial" w:hAnsi="Arial" w:cs="Arial"/>
          <w:b/>
          <w:bCs/>
          <w:i w:val="0"/>
          <w:iCs w:val="0"/>
          <w:noProof/>
          <w:color w:val="auto"/>
          <w:sz w:val="20"/>
          <w:szCs w:val="20"/>
        </w:rPr>
        <w:fldChar w:fldCharType="begin"/>
      </w:r>
      <w:r w:rsidRPr="003B2193">
        <w:rPr>
          <w:rFonts w:ascii="Arial" w:hAnsi="Arial" w:cs="Arial"/>
          <w:b/>
          <w:bCs/>
          <w:i w:val="0"/>
          <w:iCs w:val="0"/>
          <w:noProof/>
          <w:color w:val="auto"/>
          <w:sz w:val="20"/>
          <w:szCs w:val="20"/>
        </w:rPr>
        <w:instrText xml:space="preserve"> SEQ Figura \* ARABIC </w:instrText>
      </w:r>
      <w:r w:rsidRPr="003B2193">
        <w:rPr>
          <w:rFonts w:ascii="Arial" w:hAnsi="Arial" w:cs="Arial"/>
          <w:b/>
          <w:bCs/>
          <w:i w:val="0"/>
          <w:iCs w:val="0"/>
          <w:noProof/>
          <w:color w:val="auto"/>
          <w:sz w:val="20"/>
          <w:szCs w:val="20"/>
        </w:rPr>
        <w:fldChar w:fldCharType="separate"/>
      </w:r>
      <w:r w:rsidR="00936848">
        <w:rPr>
          <w:rFonts w:ascii="Arial" w:hAnsi="Arial" w:cs="Arial"/>
          <w:b/>
          <w:bCs/>
          <w:i w:val="0"/>
          <w:iCs w:val="0"/>
          <w:noProof/>
          <w:color w:val="auto"/>
          <w:sz w:val="20"/>
          <w:szCs w:val="20"/>
        </w:rPr>
        <w:t>7</w:t>
      </w:r>
      <w:r w:rsidRPr="003B2193">
        <w:rPr>
          <w:rFonts w:ascii="Arial" w:hAnsi="Arial" w:cs="Arial"/>
          <w:b/>
          <w:bCs/>
          <w:i w:val="0"/>
          <w:iCs w:val="0"/>
          <w:noProof/>
          <w:color w:val="auto"/>
          <w:sz w:val="20"/>
          <w:szCs w:val="20"/>
        </w:rPr>
        <w:fldChar w:fldCharType="end"/>
      </w:r>
      <w:r w:rsidRPr="003B2193">
        <w:rPr>
          <w:rFonts w:ascii="Arial" w:hAnsi="Arial" w:cs="Arial"/>
          <w:b/>
          <w:bCs/>
          <w:i w:val="0"/>
          <w:iCs w:val="0"/>
          <w:noProof/>
          <w:color w:val="auto"/>
          <w:sz w:val="20"/>
          <w:szCs w:val="20"/>
        </w:rPr>
        <w:t>.</w:t>
      </w:r>
      <w:r>
        <w:t xml:space="preserve"> </w:t>
      </w:r>
      <w:r w:rsidRPr="003B2193">
        <w:rPr>
          <w:rFonts w:ascii="Arial" w:hAnsi="Arial" w:cs="Arial"/>
          <w:i w:val="0"/>
          <w:iCs w:val="0"/>
          <w:color w:val="auto"/>
          <w:sz w:val="20"/>
          <w:szCs w:val="20"/>
        </w:rPr>
        <w:t xml:space="preserve">Observación de floración en </w:t>
      </w:r>
      <w:r w:rsidRPr="003B2193">
        <w:rPr>
          <w:rFonts w:ascii="Arial" w:hAnsi="Arial" w:cs="Arial"/>
          <w:color w:val="auto"/>
          <w:sz w:val="20"/>
          <w:szCs w:val="20"/>
        </w:rPr>
        <w:t xml:space="preserve">S. </w:t>
      </w:r>
      <w:proofErr w:type="spellStart"/>
      <w:r w:rsidRPr="003B2193">
        <w:rPr>
          <w:rFonts w:ascii="Arial" w:hAnsi="Arial" w:cs="Arial"/>
          <w:color w:val="auto"/>
          <w:sz w:val="20"/>
          <w:szCs w:val="20"/>
        </w:rPr>
        <w:t>rubrotinctum</w:t>
      </w:r>
      <w:proofErr w:type="spellEnd"/>
    </w:p>
    <w:p w14:paraId="181A6F3B" w14:textId="4929EAA6" w:rsidR="005A1A18" w:rsidRPr="000C454E" w:rsidRDefault="00A31595" w:rsidP="00A31595">
      <w:pPr>
        <w:rPr>
          <w:rFonts w:ascii="Arial" w:hAnsi="Arial" w:cs="Arial"/>
          <w:sz w:val="24"/>
          <w:szCs w:val="24"/>
        </w:rPr>
      </w:pPr>
      <w:r>
        <w:rPr>
          <w:rFonts w:ascii="Arial" w:hAnsi="Arial" w:cs="Arial"/>
          <w:sz w:val="24"/>
          <w:szCs w:val="24"/>
        </w:rPr>
        <w:br w:type="page"/>
      </w:r>
    </w:p>
    <w:p w14:paraId="3D38BC1A" w14:textId="68EEAB2F" w:rsidR="000F6295" w:rsidRDefault="000F6295" w:rsidP="000E6498">
      <w:pPr>
        <w:ind w:left="360"/>
        <w:jc w:val="both"/>
        <w:rPr>
          <w:rFonts w:ascii="Arial" w:hAnsi="Arial" w:cs="Arial"/>
          <w:b/>
          <w:bCs/>
          <w:sz w:val="24"/>
          <w:szCs w:val="24"/>
        </w:rPr>
      </w:pPr>
      <w:r>
        <w:lastRenderedPageBreak/>
        <w:tab/>
      </w:r>
      <w:r w:rsidRPr="000E6498">
        <w:rPr>
          <w:rFonts w:ascii="Arial" w:hAnsi="Arial" w:cs="Arial"/>
          <w:b/>
          <w:bCs/>
          <w:sz w:val="24"/>
          <w:szCs w:val="24"/>
        </w:rPr>
        <w:t>Conclusiones</w:t>
      </w:r>
      <w:r w:rsidR="00A96D5E" w:rsidRPr="000E6498">
        <w:rPr>
          <w:rFonts w:ascii="Arial" w:hAnsi="Arial" w:cs="Arial"/>
          <w:b/>
          <w:bCs/>
          <w:sz w:val="24"/>
          <w:szCs w:val="24"/>
        </w:rPr>
        <w:t xml:space="preserve"> e i</w:t>
      </w:r>
      <w:r w:rsidRPr="000E6498">
        <w:rPr>
          <w:rFonts w:ascii="Arial" w:hAnsi="Arial" w:cs="Arial"/>
          <w:b/>
          <w:bCs/>
          <w:sz w:val="24"/>
          <w:szCs w:val="24"/>
        </w:rPr>
        <w:t>mpacto de</w:t>
      </w:r>
      <w:r w:rsidR="00A96D5E" w:rsidRPr="000E6498">
        <w:rPr>
          <w:rFonts w:ascii="Arial" w:hAnsi="Arial" w:cs="Arial"/>
          <w:b/>
          <w:bCs/>
          <w:sz w:val="24"/>
          <w:szCs w:val="24"/>
        </w:rPr>
        <w:t xml:space="preserve"> la investigación</w:t>
      </w:r>
    </w:p>
    <w:p w14:paraId="57E0B3F8" w14:textId="2C2D0E92" w:rsidR="00752D92" w:rsidRDefault="00752D92" w:rsidP="008E1584">
      <w:pPr>
        <w:spacing w:line="360" w:lineRule="auto"/>
        <w:jc w:val="both"/>
        <w:rPr>
          <w:rFonts w:ascii="Arial" w:hAnsi="Arial" w:cs="Arial"/>
          <w:sz w:val="24"/>
          <w:szCs w:val="24"/>
        </w:rPr>
      </w:pPr>
      <w:r>
        <w:rPr>
          <w:rFonts w:ascii="Arial" w:hAnsi="Arial" w:cs="Arial"/>
          <w:sz w:val="24"/>
          <w:szCs w:val="24"/>
        </w:rPr>
        <w:t xml:space="preserve">La comunidad estudiantil de nivel medio carece de conocimientos en las temáticas de AVU, </w:t>
      </w:r>
      <w:proofErr w:type="spellStart"/>
      <w:r>
        <w:rPr>
          <w:rFonts w:ascii="Arial" w:hAnsi="Arial" w:cs="Arial"/>
          <w:sz w:val="24"/>
          <w:szCs w:val="24"/>
        </w:rPr>
        <w:t>SbN</w:t>
      </w:r>
      <w:proofErr w:type="spellEnd"/>
      <w:r>
        <w:rPr>
          <w:rFonts w:ascii="Arial" w:hAnsi="Arial" w:cs="Arial"/>
          <w:sz w:val="24"/>
          <w:szCs w:val="24"/>
        </w:rPr>
        <w:t xml:space="preserve">, y techos verdes, estos resultados nos permitieron diseñar apropiadamente el taller interactivo que será enseñado en la siguiente etapa del proyecto de </w:t>
      </w:r>
      <w:r w:rsidR="008E1584">
        <w:rPr>
          <w:rFonts w:ascii="Arial" w:hAnsi="Arial" w:cs="Arial"/>
          <w:sz w:val="24"/>
          <w:szCs w:val="24"/>
        </w:rPr>
        <w:t>innovación</w:t>
      </w:r>
      <w:r w:rsidR="00DB4D4C">
        <w:rPr>
          <w:rFonts w:ascii="Arial" w:hAnsi="Arial" w:cs="Arial"/>
          <w:sz w:val="24"/>
          <w:szCs w:val="24"/>
        </w:rPr>
        <w:t xml:space="preserve">. </w:t>
      </w:r>
      <w:r w:rsidR="00DB4D4C" w:rsidRPr="00DB4D4C">
        <w:rPr>
          <w:rFonts w:ascii="Arial" w:hAnsi="Arial" w:cs="Arial"/>
          <w:sz w:val="24"/>
          <w:szCs w:val="24"/>
        </w:rPr>
        <w:t xml:space="preserve">En la etapa pendiente se realizará la evaluación del taller consistirá en conocer la percepción de los estudiantes considerando las reacciones sobre la instalación y desarrollo del </w:t>
      </w:r>
      <w:r w:rsidR="00DB4D4C">
        <w:rPr>
          <w:rFonts w:ascii="Arial" w:hAnsi="Arial" w:cs="Arial"/>
          <w:sz w:val="24"/>
          <w:szCs w:val="24"/>
        </w:rPr>
        <w:t>TVLE como</w:t>
      </w:r>
      <w:r>
        <w:rPr>
          <w:rFonts w:ascii="Arial" w:hAnsi="Arial" w:cs="Arial"/>
          <w:sz w:val="24"/>
          <w:szCs w:val="24"/>
        </w:rPr>
        <w:t xml:space="preserve"> una alternativa al techo verde convencional. </w:t>
      </w:r>
    </w:p>
    <w:p w14:paraId="37CFF657" w14:textId="50124CCE" w:rsidR="004757EF" w:rsidRDefault="004757EF" w:rsidP="008E1584">
      <w:pPr>
        <w:spacing w:line="360" w:lineRule="auto"/>
        <w:jc w:val="both"/>
        <w:rPr>
          <w:rFonts w:ascii="Arial" w:hAnsi="Arial" w:cs="Arial"/>
          <w:sz w:val="24"/>
          <w:szCs w:val="24"/>
        </w:rPr>
      </w:pPr>
      <w:r w:rsidRPr="009A4DB0">
        <w:rPr>
          <w:rFonts w:ascii="Arial" w:hAnsi="Arial" w:cs="Arial"/>
          <w:sz w:val="24"/>
          <w:szCs w:val="24"/>
        </w:rPr>
        <w:t>El diseño</w:t>
      </w:r>
      <w:r w:rsidR="00437BF9">
        <w:rPr>
          <w:rFonts w:ascii="Arial" w:hAnsi="Arial" w:cs="Arial"/>
          <w:sz w:val="24"/>
          <w:szCs w:val="24"/>
        </w:rPr>
        <w:t xml:space="preserve"> e instalación del T</w:t>
      </w:r>
      <w:r>
        <w:rPr>
          <w:rFonts w:ascii="Arial" w:hAnsi="Arial" w:cs="Arial"/>
          <w:sz w:val="24"/>
          <w:szCs w:val="24"/>
        </w:rPr>
        <w:t xml:space="preserve">VLE emplea </w:t>
      </w:r>
      <w:r w:rsidR="00936848">
        <w:rPr>
          <w:rFonts w:ascii="Arial" w:hAnsi="Arial" w:cs="Arial"/>
          <w:sz w:val="24"/>
          <w:szCs w:val="24"/>
        </w:rPr>
        <w:t xml:space="preserve">MOR </w:t>
      </w:r>
      <w:r w:rsidR="0064692E">
        <w:rPr>
          <w:rFonts w:ascii="Arial" w:hAnsi="Arial" w:cs="Arial"/>
          <w:sz w:val="24"/>
          <w:szCs w:val="24"/>
        </w:rPr>
        <w:t>reutilizándolos</w:t>
      </w:r>
      <w:r w:rsidR="00936848">
        <w:rPr>
          <w:rFonts w:ascii="Arial" w:hAnsi="Arial" w:cs="Arial"/>
          <w:sz w:val="24"/>
          <w:szCs w:val="24"/>
        </w:rPr>
        <w:t xml:space="preserve"> como </w:t>
      </w:r>
      <w:r w:rsidR="0064692E">
        <w:rPr>
          <w:rFonts w:ascii="Arial" w:hAnsi="Arial" w:cs="Arial"/>
          <w:sz w:val="24"/>
          <w:szCs w:val="24"/>
        </w:rPr>
        <w:t>capa drenante en</w:t>
      </w:r>
      <w:r w:rsidR="00936848">
        <w:rPr>
          <w:rFonts w:ascii="Arial" w:hAnsi="Arial" w:cs="Arial"/>
          <w:sz w:val="24"/>
          <w:szCs w:val="24"/>
        </w:rPr>
        <w:t xml:space="preserve"> </w:t>
      </w:r>
      <w:r w:rsidR="0064692E">
        <w:rPr>
          <w:rFonts w:ascii="Arial" w:hAnsi="Arial" w:cs="Arial"/>
          <w:sz w:val="24"/>
          <w:szCs w:val="24"/>
        </w:rPr>
        <w:t>su</w:t>
      </w:r>
      <w:r w:rsidR="00936848">
        <w:rPr>
          <w:rFonts w:ascii="Arial" w:hAnsi="Arial" w:cs="Arial"/>
          <w:sz w:val="24"/>
          <w:szCs w:val="24"/>
        </w:rPr>
        <w:t xml:space="preserve"> estructura</w:t>
      </w:r>
      <w:r w:rsidR="00752D92">
        <w:rPr>
          <w:rFonts w:ascii="Arial" w:hAnsi="Arial" w:cs="Arial"/>
          <w:sz w:val="24"/>
          <w:szCs w:val="24"/>
        </w:rPr>
        <w:t xml:space="preserve">, </w:t>
      </w:r>
      <w:r w:rsidRPr="009A4DB0">
        <w:rPr>
          <w:rFonts w:ascii="Arial" w:hAnsi="Arial" w:cs="Arial"/>
          <w:sz w:val="24"/>
          <w:szCs w:val="24"/>
        </w:rPr>
        <w:t>disminu</w:t>
      </w:r>
      <w:r w:rsidR="00936848">
        <w:rPr>
          <w:rFonts w:ascii="Arial" w:hAnsi="Arial" w:cs="Arial"/>
          <w:sz w:val="24"/>
          <w:szCs w:val="24"/>
        </w:rPr>
        <w:t>ye</w:t>
      </w:r>
      <w:r w:rsidRPr="009A4DB0">
        <w:rPr>
          <w:rFonts w:ascii="Arial" w:hAnsi="Arial" w:cs="Arial"/>
          <w:sz w:val="24"/>
          <w:szCs w:val="24"/>
        </w:rPr>
        <w:t xml:space="preserve"> el costo de</w:t>
      </w:r>
      <w:r w:rsidR="00936848">
        <w:rPr>
          <w:rFonts w:ascii="Arial" w:hAnsi="Arial" w:cs="Arial"/>
          <w:sz w:val="24"/>
          <w:szCs w:val="24"/>
        </w:rPr>
        <w:t xml:space="preserve"> los</w:t>
      </w:r>
      <w:r w:rsidRPr="009A4DB0">
        <w:rPr>
          <w:rFonts w:ascii="Arial" w:hAnsi="Arial" w:cs="Arial"/>
          <w:sz w:val="24"/>
          <w:szCs w:val="24"/>
        </w:rPr>
        <w:t xml:space="preserve"> materiales</w:t>
      </w:r>
      <w:r w:rsidR="00936848">
        <w:rPr>
          <w:rFonts w:ascii="Arial" w:hAnsi="Arial" w:cs="Arial"/>
          <w:sz w:val="24"/>
          <w:szCs w:val="24"/>
        </w:rPr>
        <w:t>,</w:t>
      </w:r>
      <w:r w:rsidRPr="009A4DB0">
        <w:rPr>
          <w:rFonts w:ascii="Arial" w:hAnsi="Arial" w:cs="Arial"/>
          <w:sz w:val="24"/>
          <w:szCs w:val="24"/>
        </w:rPr>
        <w:t xml:space="preserve"> fomenta la economía circular al darle un nuevo uso al residuo de</w:t>
      </w:r>
      <w:r w:rsidR="0064692E">
        <w:rPr>
          <w:rFonts w:ascii="Arial" w:hAnsi="Arial" w:cs="Arial"/>
          <w:sz w:val="24"/>
          <w:szCs w:val="24"/>
        </w:rPr>
        <w:t>l</w:t>
      </w:r>
      <w:r w:rsidRPr="009A4DB0">
        <w:rPr>
          <w:rFonts w:ascii="Arial" w:hAnsi="Arial" w:cs="Arial"/>
          <w:sz w:val="24"/>
          <w:szCs w:val="24"/>
        </w:rPr>
        <w:t xml:space="preserve"> coco y la paja</w:t>
      </w:r>
      <w:r w:rsidR="00A86BC5">
        <w:rPr>
          <w:rFonts w:ascii="Arial" w:hAnsi="Arial" w:cs="Arial"/>
          <w:sz w:val="24"/>
          <w:szCs w:val="24"/>
        </w:rPr>
        <w:t xml:space="preserve">, las bases para realizar el ACV están establecidas y en el reporte final se mostrarán los resultados de la disminución de la huella de carbono de los componentes del TVLE en comparación con un techo verde convencional. </w:t>
      </w:r>
    </w:p>
    <w:p w14:paraId="0B95E53D" w14:textId="37BAE919" w:rsidR="00A86BC5" w:rsidRDefault="008E1584" w:rsidP="008E1584">
      <w:pPr>
        <w:spacing w:line="360" w:lineRule="auto"/>
        <w:jc w:val="both"/>
        <w:rPr>
          <w:rFonts w:ascii="Arial" w:hAnsi="Arial" w:cs="Arial"/>
          <w:sz w:val="24"/>
          <w:szCs w:val="24"/>
        </w:rPr>
      </w:pPr>
      <w:r>
        <w:rPr>
          <w:rFonts w:ascii="Arial" w:hAnsi="Arial" w:cs="Arial"/>
          <w:sz w:val="24"/>
          <w:szCs w:val="24"/>
        </w:rPr>
        <w:t xml:space="preserve">La </w:t>
      </w:r>
      <w:r w:rsidR="00A86BC5" w:rsidRPr="00A86BC5">
        <w:rPr>
          <w:rFonts w:ascii="Arial" w:hAnsi="Arial" w:cs="Arial"/>
          <w:sz w:val="24"/>
          <w:szCs w:val="24"/>
        </w:rPr>
        <w:t>instalación y</w:t>
      </w:r>
      <w:r>
        <w:rPr>
          <w:rFonts w:ascii="Arial" w:hAnsi="Arial" w:cs="Arial"/>
          <w:sz w:val="24"/>
          <w:szCs w:val="24"/>
        </w:rPr>
        <w:t xml:space="preserve"> el</w:t>
      </w:r>
      <w:r w:rsidR="00A86BC5" w:rsidRPr="00A86BC5">
        <w:rPr>
          <w:rFonts w:ascii="Arial" w:hAnsi="Arial" w:cs="Arial"/>
          <w:sz w:val="24"/>
          <w:szCs w:val="24"/>
        </w:rPr>
        <w:t xml:space="preserve"> período del TVLE fue exitoso para las especies de estudio, en tanto que para </w:t>
      </w:r>
      <w:r w:rsidR="00A86BC5" w:rsidRPr="00A86BC5">
        <w:rPr>
          <w:rFonts w:ascii="Arial" w:hAnsi="Arial" w:cs="Arial"/>
          <w:i/>
          <w:iCs/>
          <w:color w:val="000000"/>
          <w:sz w:val="24"/>
          <w:szCs w:val="24"/>
        </w:rPr>
        <w:t xml:space="preserve">Sedum </w:t>
      </w:r>
      <w:proofErr w:type="spellStart"/>
      <w:r w:rsidR="00A86BC5" w:rsidRPr="00A86BC5">
        <w:rPr>
          <w:rFonts w:ascii="Arial" w:hAnsi="Arial" w:cs="Arial"/>
          <w:i/>
          <w:iCs/>
          <w:color w:val="000000"/>
          <w:sz w:val="24"/>
          <w:szCs w:val="24"/>
        </w:rPr>
        <w:t>morganianum</w:t>
      </w:r>
      <w:proofErr w:type="spellEnd"/>
      <w:r w:rsidR="00A86BC5" w:rsidRPr="00A86BC5">
        <w:rPr>
          <w:rFonts w:ascii="Arial" w:hAnsi="Arial" w:cs="Arial"/>
          <w:i/>
          <w:iCs/>
          <w:color w:val="000000"/>
          <w:sz w:val="24"/>
          <w:szCs w:val="24"/>
        </w:rPr>
        <w:t xml:space="preserve"> </w:t>
      </w:r>
      <w:r w:rsidR="00A86BC5" w:rsidRPr="00A86BC5">
        <w:rPr>
          <w:rFonts w:ascii="Arial" w:hAnsi="Arial" w:cs="Arial"/>
          <w:color w:val="000000"/>
          <w:sz w:val="24"/>
          <w:szCs w:val="24"/>
        </w:rPr>
        <w:t xml:space="preserve">(Burrito) se plantear colocar nuevos ejemplares y analizar su desempeño en el tiempo restante para la conclusión del proyecto y establecer su funcionalidad como vegetación en un techo verde. </w:t>
      </w:r>
    </w:p>
    <w:p w14:paraId="6AB1888A" w14:textId="77777777" w:rsidR="004757EF" w:rsidRPr="000E6498" w:rsidRDefault="004757EF" w:rsidP="004757EF">
      <w:pPr>
        <w:jc w:val="both"/>
        <w:rPr>
          <w:rFonts w:ascii="Arial" w:hAnsi="Arial" w:cs="Arial"/>
          <w:b/>
          <w:bCs/>
          <w:sz w:val="24"/>
          <w:szCs w:val="24"/>
        </w:rPr>
      </w:pPr>
    </w:p>
    <w:p w14:paraId="5F345C14" w14:textId="4E4E8BA1" w:rsidR="000F6295" w:rsidRPr="000E6498" w:rsidRDefault="000F6295" w:rsidP="000E6498">
      <w:pPr>
        <w:ind w:left="360"/>
        <w:jc w:val="both"/>
        <w:rPr>
          <w:rFonts w:ascii="Arial" w:hAnsi="Arial" w:cs="Arial"/>
          <w:b/>
          <w:bCs/>
          <w:sz w:val="24"/>
          <w:szCs w:val="24"/>
        </w:rPr>
      </w:pPr>
      <w:r w:rsidRPr="000E6498">
        <w:rPr>
          <w:rFonts w:ascii="Arial" w:hAnsi="Arial" w:cs="Arial"/>
          <w:b/>
          <w:bCs/>
          <w:sz w:val="24"/>
          <w:szCs w:val="24"/>
        </w:rPr>
        <w:tab/>
        <w:t xml:space="preserve">Bibliografía </w:t>
      </w:r>
    </w:p>
    <w:p w14:paraId="38EB4ACF" w14:textId="330A614A"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rPr>
        <w:fldChar w:fldCharType="begin" w:fldLock="1"/>
      </w:r>
      <w:r w:rsidRPr="00437BF9">
        <w:rPr>
          <w:rFonts w:ascii="Arial" w:hAnsi="Arial" w:cs="Arial"/>
        </w:rPr>
        <w:instrText xml:space="preserve">ADDIN Mendeley Bibliography CSL_BIBLIOGRAPHY </w:instrText>
      </w:r>
      <w:r w:rsidRPr="00437BF9">
        <w:rPr>
          <w:rFonts w:ascii="Arial" w:hAnsi="Arial" w:cs="Arial"/>
        </w:rPr>
        <w:fldChar w:fldCharType="separate"/>
      </w:r>
      <w:r w:rsidRPr="00437BF9">
        <w:rPr>
          <w:rFonts w:ascii="Arial" w:hAnsi="Arial" w:cs="Arial"/>
          <w:noProof/>
          <w:kern w:val="0"/>
          <w:szCs w:val="24"/>
        </w:rPr>
        <w:t xml:space="preserve">Bollman, M. A., DeSantis, G. E., Waschmann, R. S., &amp; Mayer, P. M. (2021). Effects of shading and composition on green roof media temperature and moisture. </w:t>
      </w:r>
      <w:r w:rsidRPr="00437BF9">
        <w:rPr>
          <w:rFonts w:ascii="Arial" w:hAnsi="Arial" w:cs="Arial"/>
          <w:i/>
          <w:iCs/>
          <w:noProof/>
          <w:kern w:val="0"/>
          <w:szCs w:val="24"/>
        </w:rPr>
        <w:t>Journal of Environmental Management</w:t>
      </w:r>
      <w:r w:rsidRPr="00437BF9">
        <w:rPr>
          <w:rFonts w:ascii="Arial" w:hAnsi="Arial" w:cs="Arial"/>
          <w:noProof/>
          <w:kern w:val="0"/>
          <w:szCs w:val="24"/>
        </w:rPr>
        <w:t xml:space="preserve">, </w:t>
      </w:r>
      <w:r w:rsidRPr="00437BF9">
        <w:rPr>
          <w:rFonts w:ascii="Arial" w:hAnsi="Arial" w:cs="Arial"/>
          <w:i/>
          <w:iCs/>
          <w:noProof/>
          <w:kern w:val="0"/>
          <w:szCs w:val="24"/>
        </w:rPr>
        <w:t>281</w:t>
      </w:r>
      <w:r w:rsidRPr="00437BF9">
        <w:rPr>
          <w:rFonts w:ascii="Arial" w:hAnsi="Arial" w:cs="Arial"/>
          <w:noProof/>
          <w:kern w:val="0"/>
          <w:szCs w:val="24"/>
        </w:rPr>
        <w:t>(September 2020). https://doi.org/10.1016/j.jenvman.2020.111882</w:t>
      </w:r>
    </w:p>
    <w:p w14:paraId="35A1BE31"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Bozorg Chenani, S., Lehvävirta, S., &amp; Häkkinen, T. (2015). Life cycle assessment of layers of green roofs. </w:t>
      </w:r>
      <w:r w:rsidRPr="00437BF9">
        <w:rPr>
          <w:rFonts w:ascii="Arial" w:hAnsi="Arial" w:cs="Arial"/>
          <w:i/>
          <w:iCs/>
          <w:noProof/>
          <w:kern w:val="0"/>
          <w:szCs w:val="24"/>
        </w:rPr>
        <w:t>Journal of Cleaner Production</w:t>
      </w:r>
      <w:r w:rsidRPr="00437BF9">
        <w:rPr>
          <w:rFonts w:ascii="Arial" w:hAnsi="Arial" w:cs="Arial"/>
          <w:noProof/>
          <w:kern w:val="0"/>
          <w:szCs w:val="24"/>
        </w:rPr>
        <w:t xml:space="preserve">, </w:t>
      </w:r>
      <w:r w:rsidRPr="00437BF9">
        <w:rPr>
          <w:rFonts w:ascii="Arial" w:hAnsi="Arial" w:cs="Arial"/>
          <w:i/>
          <w:iCs/>
          <w:noProof/>
          <w:kern w:val="0"/>
          <w:szCs w:val="24"/>
        </w:rPr>
        <w:t>90</w:t>
      </w:r>
      <w:r w:rsidRPr="00437BF9">
        <w:rPr>
          <w:rFonts w:ascii="Arial" w:hAnsi="Arial" w:cs="Arial"/>
          <w:noProof/>
          <w:kern w:val="0"/>
          <w:szCs w:val="24"/>
        </w:rPr>
        <w:t>, 153–162. https://doi.org/10.1016/j.jclepro.2014.11.070</w:t>
      </w:r>
    </w:p>
    <w:p w14:paraId="190A3339"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Brenneisen, S. (2006). Space for urban wildlife : designing green roofs as habitats in Switzerland. </w:t>
      </w:r>
      <w:r w:rsidRPr="00437BF9">
        <w:rPr>
          <w:rFonts w:ascii="Arial" w:hAnsi="Arial" w:cs="Arial"/>
          <w:i/>
          <w:iCs/>
          <w:noProof/>
          <w:kern w:val="0"/>
          <w:szCs w:val="24"/>
        </w:rPr>
        <w:t>Urban Habitats</w:t>
      </w:r>
      <w:r w:rsidRPr="00437BF9">
        <w:rPr>
          <w:rFonts w:ascii="Arial" w:hAnsi="Arial" w:cs="Arial"/>
          <w:noProof/>
          <w:kern w:val="0"/>
          <w:szCs w:val="24"/>
        </w:rPr>
        <w:t xml:space="preserve">, </w:t>
      </w:r>
      <w:r w:rsidRPr="00437BF9">
        <w:rPr>
          <w:rFonts w:ascii="Arial" w:hAnsi="Arial" w:cs="Arial"/>
          <w:i/>
          <w:iCs/>
          <w:noProof/>
          <w:kern w:val="0"/>
          <w:szCs w:val="24"/>
        </w:rPr>
        <w:t>4</w:t>
      </w:r>
      <w:r w:rsidRPr="00437BF9">
        <w:rPr>
          <w:rFonts w:ascii="Arial" w:hAnsi="Arial" w:cs="Arial"/>
          <w:noProof/>
          <w:kern w:val="0"/>
          <w:szCs w:val="24"/>
        </w:rPr>
        <w:t>(1), 27–36.</w:t>
      </w:r>
    </w:p>
    <w:p w14:paraId="375BC7E2"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Cao, C. T. N., Farrell, C., Kristiansen, P. E., &amp; Rayner, J. P. (2014). Biochar makes green roof substrates lighter and improves water supply to plants. </w:t>
      </w:r>
      <w:r w:rsidRPr="00437BF9">
        <w:rPr>
          <w:rFonts w:ascii="Arial" w:hAnsi="Arial" w:cs="Arial"/>
          <w:i/>
          <w:iCs/>
          <w:noProof/>
          <w:kern w:val="0"/>
          <w:szCs w:val="24"/>
        </w:rPr>
        <w:t>Ecological Engineering</w:t>
      </w:r>
      <w:r w:rsidRPr="00437BF9">
        <w:rPr>
          <w:rFonts w:ascii="Arial" w:hAnsi="Arial" w:cs="Arial"/>
          <w:noProof/>
          <w:kern w:val="0"/>
          <w:szCs w:val="24"/>
        </w:rPr>
        <w:t xml:space="preserve">, </w:t>
      </w:r>
      <w:r w:rsidRPr="00437BF9">
        <w:rPr>
          <w:rFonts w:ascii="Arial" w:hAnsi="Arial" w:cs="Arial"/>
          <w:i/>
          <w:iCs/>
          <w:noProof/>
          <w:kern w:val="0"/>
          <w:szCs w:val="24"/>
        </w:rPr>
        <w:t>71</w:t>
      </w:r>
      <w:r w:rsidRPr="00437BF9">
        <w:rPr>
          <w:rFonts w:ascii="Arial" w:hAnsi="Arial" w:cs="Arial"/>
          <w:noProof/>
          <w:kern w:val="0"/>
          <w:szCs w:val="24"/>
        </w:rPr>
        <w:t>, 368–374. https://doi.org/10.1016/j.ecoleng.2014.06.017</w:t>
      </w:r>
    </w:p>
    <w:p w14:paraId="570FE917"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Castleton, H. F., Stovin, V., Beck, S. B. M., &amp; Davison, J. B. (2010). Green roofs; Building </w:t>
      </w:r>
      <w:r w:rsidRPr="00437BF9">
        <w:rPr>
          <w:rFonts w:ascii="Arial" w:hAnsi="Arial" w:cs="Arial"/>
          <w:noProof/>
          <w:kern w:val="0"/>
          <w:szCs w:val="24"/>
        </w:rPr>
        <w:lastRenderedPageBreak/>
        <w:t xml:space="preserve">energy savings and the potential for retrofit. </w:t>
      </w:r>
      <w:r w:rsidRPr="00437BF9">
        <w:rPr>
          <w:rFonts w:ascii="Arial" w:hAnsi="Arial" w:cs="Arial"/>
          <w:i/>
          <w:iCs/>
          <w:noProof/>
          <w:kern w:val="0"/>
          <w:szCs w:val="24"/>
        </w:rPr>
        <w:t>Energy and Buildings</w:t>
      </w:r>
      <w:r w:rsidRPr="00437BF9">
        <w:rPr>
          <w:rFonts w:ascii="Arial" w:hAnsi="Arial" w:cs="Arial"/>
          <w:noProof/>
          <w:kern w:val="0"/>
          <w:szCs w:val="24"/>
        </w:rPr>
        <w:t xml:space="preserve">, </w:t>
      </w:r>
      <w:r w:rsidRPr="00437BF9">
        <w:rPr>
          <w:rFonts w:ascii="Arial" w:hAnsi="Arial" w:cs="Arial"/>
          <w:i/>
          <w:iCs/>
          <w:noProof/>
          <w:kern w:val="0"/>
          <w:szCs w:val="24"/>
        </w:rPr>
        <w:t>42</w:t>
      </w:r>
      <w:r w:rsidRPr="00437BF9">
        <w:rPr>
          <w:rFonts w:ascii="Arial" w:hAnsi="Arial" w:cs="Arial"/>
          <w:noProof/>
          <w:kern w:val="0"/>
          <w:szCs w:val="24"/>
        </w:rPr>
        <w:t>(10), 1582–1591. https://doi.org/10.1016/j.enbuild.2010.05.004</w:t>
      </w:r>
    </w:p>
    <w:p w14:paraId="186DF5D8"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Collazo-Ortega, M., Rosas, U., &amp; Reyes-Santiago, J. (2017). Towards Providing Solutions to the Air Quality Crisis in the Mexico City Metropolitan Area: Carbon Sequestration by Succulent Species in Green Roofs. </w:t>
      </w:r>
      <w:r w:rsidRPr="00437BF9">
        <w:rPr>
          <w:rFonts w:ascii="Arial" w:hAnsi="Arial" w:cs="Arial"/>
          <w:i/>
          <w:iCs/>
          <w:noProof/>
          <w:kern w:val="0"/>
          <w:szCs w:val="24"/>
        </w:rPr>
        <w:t>PLoS Currents</w:t>
      </w:r>
      <w:r w:rsidRPr="00437BF9">
        <w:rPr>
          <w:rFonts w:ascii="Arial" w:hAnsi="Arial" w:cs="Arial"/>
          <w:noProof/>
          <w:kern w:val="0"/>
          <w:szCs w:val="24"/>
        </w:rPr>
        <w:t>, 1–19. https://doi.org/10.1371/currents.dis.bb66ae4f4f3c6eb118a019a29a9ce80f</w:t>
      </w:r>
    </w:p>
    <w:p w14:paraId="4D7D14D1"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Crampton, M., Ryan, A., Eckert, C., Baker, K. H., &amp; Herson, D. S. (2014). Effects of leachate from crumb rubber and zinc in green roofs on the survival, growth, and resistance characteristics of Salmonella enterica subsp. enterica serovar typhimurium. </w:t>
      </w:r>
      <w:r w:rsidRPr="00437BF9">
        <w:rPr>
          <w:rFonts w:ascii="Arial" w:hAnsi="Arial" w:cs="Arial"/>
          <w:i/>
          <w:iCs/>
          <w:noProof/>
          <w:kern w:val="0"/>
          <w:szCs w:val="24"/>
        </w:rPr>
        <w:t>Applied and Environmental Microbiology</w:t>
      </w:r>
      <w:r w:rsidRPr="00437BF9">
        <w:rPr>
          <w:rFonts w:ascii="Arial" w:hAnsi="Arial" w:cs="Arial"/>
          <w:noProof/>
          <w:kern w:val="0"/>
          <w:szCs w:val="24"/>
        </w:rPr>
        <w:t xml:space="preserve">, </w:t>
      </w:r>
      <w:r w:rsidRPr="00437BF9">
        <w:rPr>
          <w:rFonts w:ascii="Arial" w:hAnsi="Arial" w:cs="Arial"/>
          <w:i/>
          <w:iCs/>
          <w:noProof/>
          <w:kern w:val="0"/>
          <w:szCs w:val="24"/>
        </w:rPr>
        <w:t>80</w:t>
      </w:r>
      <w:r w:rsidRPr="00437BF9">
        <w:rPr>
          <w:rFonts w:ascii="Arial" w:hAnsi="Arial" w:cs="Arial"/>
          <w:noProof/>
          <w:kern w:val="0"/>
          <w:szCs w:val="24"/>
        </w:rPr>
        <w:t>(9), 2804–2810. https://doi.org/10.1128/AEM.03565-13</w:t>
      </w:r>
    </w:p>
    <w:p w14:paraId="52947C5A"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Deng, H., &amp; Jim, C. Y. (2017). Spontaneous plant colonization and bird visits of tropical extensive green roof. </w:t>
      </w:r>
      <w:r w:rsidRPr="00437BF9">
        <w:rPr>
          <w:rFonts w:ascii="Arial" w:hAnsi="Arial" w:cs="Arial"/>
          <w:i/>
          <w:iCs/>
          <w:noProof/>
          <w:kern w:val="0"/>
          <w:szCs w:val="24"/>
        </w:rPr>
        <w:t>Urban Ecosystems</w:t>
      </w:r>
      <w:r w:rsidRPr="00437BF9">
        <w:rPr>
          <w:rFonts w:ascii="Arial" w:hAnsi="Arial" w:cs="Arial"/>
          <w:noProof/>
          <w:kern w:val="0"/>
          <w:szCs w:val="24"/>
        </w:rPr>
        <w:t xml:space="preserve">, </w:t>
      </w:r>
      <w:r w:rsidRPr="00437BF9">
        <w:rPr>
          <w:rFonts w:ascii="Arial" w:hAnsi="Arial" w:cs="Arial"/>
          <w:i/>
          <w:iCs/>
          <w:noProof/>
          <w:kern w:val="0"/>
          <w:szCs w:val="24"/>
        </w:rPr>
        <w:t>20</w:t>
      </w:r>
      <w:r w:rsidRPr="00437BF9">
        <w:rPr>
          <w:rFonts w:ascii="Arial" w:hAnsi="Arial" w:cs="Arial"/>
          <w:noProof/>
          <w:kern w:val="0"/>
          <w:szCs w:val="24"/>
        </w:rPr>
        <w:t>(2), 337–352. https://doi.org/10.1007/s11252-016-0596-3</w:t>
      </w:r>
    </w:p>
    <w:p w14:paraId="25736E26"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Deska, I., Mrowiec, M., Ociepa, E., &amp; Michniewski, M. (2020). Impact of the Hydrogel Amendment and the Dry Period Duration on the Green Roof Retention Capacity. </w:t>
      </w:r>
      <w:r w:rsidRPr="00437BF9">
        <w:rPr>
          <w:rFonts w:ascii="Arial" w:hAnsi="Arial" w:cs="Arial"/>
          <w:i/>
          <w:iCs/>
          <w:noProof/>
          <w:kern w:val="0"/>
          <w:szCs w:val="24"/>
        </w:rPr>
        <w:t>Ecological Chemistry and Engineering S</w:t>
      </w:r>
      <w:r w:rsidRPr="00437BF9">
        <w:rPr>
          <w:rFonts w:ascii="Arial" w:hAnsi="Arial" w:cs="Arial"/>
          <w:noProof/>
          <w:kern w:val="0"/>
          <w:szCs w:val="24"/>
        </w:rPr>
        <w:t xml:space="preserve">, </w:t>
      </w:r>
      <w:r w:rsidRPr="00437BF9">
        <w:rPr>
          <w:rFonts w:ascii="Arial" w:hAnsi="Arial" w:cs="Arial"/>
          <w:i/>
          <w:iCs/>
          <w:noProof/>
          <w:kern w:val="0"/>
          <w:szCs w:val="24"/>
        </w:rPr>
        <w:t>27</w:t>
      </w:r>
      <w:r w:rsidRPr="00437BF9">
        <w:rPr>
          <w:rFonts w:ascii="Arial" w:hAnsi="Arial" w:cs="Arial"/>
          <w:noProof/>
          <w:kern w:val="0"/>
          <w:szCs w:val="24"/>
        </w:rPr>
        <w:t>(3), 357–371. https://doi.org/10.2478/eces-2020-0023</w:t>
      </w:r>
    </w:p>
    <w:p w14:paraId="58557F65"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Dong, J., Lin, M., Zuo, J., Lin, T., Liu, J., Sun, C., &amp; Luo, J. (2020). Quantitative study on the cooling effect of green roofs in a high-density urban Area—A case study of Xiamen, China. </w:t>
      </w:r>
      <w:r w:rsidRPr="00437BF9">
        <w:rPr>
          <w:rFonts w:ascii="Arial" w:hAnsi="Arial" w:cs="Arial"/>
          <w:i/>
          <w:iCs/>
          <w:noProof/>
          <w:kern w:val="0"/>
          <w:szCs w:val="24"/>
        </w:rPr>
        <w:t>Journal of Cleaner Production</w:t>
      </w:r>
      <w:r w:rsidRPr="00437BF9">
        <w:rPr>
          <w:rFonts w:ascii="Arial" w:hAnsi="Arial" w:cs="Arial"/>
          <w:noProof/>
          <w:kern w:val="0"/>
          <w:szCs w:val="24"/>
        </w:rPr>
        <w:t xml:space="preserve">, </w:t>
      </w:r>
      <w:r w:rsidRPr="00437BF9">
        <w:rPr>
          <w:rFonts w:ascii="Arial" w:hAnsi="Arial" w:cs="Arial"/>
          <w:i/>
          <w:iCs/>
          <w:noProof/>
          <w:kern w:val="0"/>
          <w:szCs w:val="24"/>
        </w:rPr>
        <w:t>255</w:t>
      </w:r>
      <w:r w:rsidRPr="00437BF9">
        <w:rPr>
          <w:rFonts w:ascii="Arial" w:hAnsi="Arial" w:cs="Arial"/>
          <w:noProof/>
          <w:kern w:val="0"/>
          <w:szCs w:val="24"/>
        </w:rPr>
        <w:t>. https://doi.org/10.1016/j.jclepro.2020.120152</w:t>
      </w:r>
    </w:p>
    <w:p w14:paraId="63052C7E"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Dvorak, B. D., &amp; Volder, A. (2011). Green Roof Plants: Strategies for Success. </w:t>
      </w:r>
      <w:r w:rsidRPr="00437BF9">
        <w:rPr>
          <w:rFonts w:ascii="Arial" w:hAnsi="Arial" w:cs="Arial"/>
          <w:i/>
          <w:iCs/>
          <w:noProof/>
          <w:kern w:val="0"/>
          <w:szCs w:val="24"/>
        </w:rPr>
        <w:t>CELA</w:t>
      </w:r>
      <w:r w:rsidRPr="00437BF9">
        <w:rPr>
          <w:rFonts w:ascii="Arial" w:hAnsi="Arial" w:cs="Arial"/>
          <w:noProof/>
          <w:kern w:val="0"/>
          <w:szCs w:val="24"/>
        </w:rPr>
        <w:t xml:space="preserve">, </w:t>
      </w:r>
      <w:r w:rsidRPr="00437BF9">
        <w:rPr>
          <w:rFonts w:ascii="Arial" w:hAnsi="Arial" w:cs="Arial"/>
          <w:i/>
          <w:iCs/>
          <w:noProof/>
          <w:kern w:val="0"/>
          <w:szCs w:val="24"/>
        </w:rPr>
        <w:t>Urban Nature</w:t>
      </w:r>
      <w:r w:rsidRPr="00437BF9">
        <w:rPr>
          <w:rFonts w:ascii="Arial" w:hAnsi="Arial" w:cs="Arial"/>
          <w:noProof/>
          <w:kern w:val="0"/>
          <w:szCs w:val="24"/>
        </w:rPr>
        <w:t>.</w:t>
      </w:r>
    </w:p>
    <w:p w14:paraId="5888BFB4"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Gabriel, P., Sol, C., Castell, A., &amp; Cabeza, L. F. (2016). </w:t>
      </w:r>
      <w:r w:rsidRPr="00437BF9">
        <w:rPr>
          <w:rFonts w:ascii="Arial" w:hAnsi="Arial" w:cs="Arial"/>
          <w:i/>
          <w:iCs/>
          <w:noProof/>
          <w:kern w:val="0"/>
          <w:szCs w:val="24"/>
        </w:rPr>
        <w:t>Thermal assessment of extensive green roofs as passive tool for energy savings in buildings</w:t>
      </w:r>
      <w:r w:rsidRPr="00437BF9">
        <w:rPr>
          <w:rFonts w:ascii="Arial" w:hAnsi="Arial" w:cs="Arial"/>
          <w:noProof/>
          <w:kern w:val="0"/>
          <w:szCs w:val="24"/>
        </w:rPr>
        <w:t xml:space="preserve">. </w:t>
      </w:r>
      <w:r w:rsidRPr="00437BF9">
        <w:rPr>
          <w:rFonts w:ascii="Arial" w:hAnsi="Arial" w:cs="Arial"/>
          <w:i/>
          <w:iCs/>
          <w:noProof/>
          <w:kern w:val="0"/>
          <w:szCs w:val="24"/>
        </w:rPr>
        <w:t>85</w:t>
      </w:r>
      <w:r w:rsidRPr="00437BF9">
        <w:rPr>
          <w:rFonts w:ascii="Arial" w:hAnsi="Arial" w:cs="Arial"/>
          <w:noProof/>
          <w:kern w:val="0"/>
          <w:szCs w:val="24"/>
        </w:rPr>
        <w:t>, 1106–1115. https://doi.org/10.1016/j.renene.2015.07.074</w:t>
      </w:r>
    </w:p>
    <w:p w14:paraId="112F45BE"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Graceson, A., Hare, M., Hall, N., &amp; Monaghan, J. (2014). Use of inorganic substrates and composted green waste in growing media for green roofs. </w:t>
      </w:r>
      <w:r w:rsidRPr="00437BF9">
        <w:rPr>
          <w:rFonts w:ascii="Arial" w:hAnsi="Arial" w:cs="Arial"/>
          <w:i/>
          <w:iCs/>
          <w:noProof/>
          <w:kern w:val="0"/>
          <w:szCs w:val="24"/>
        </w:rPr>
        <w:t>Biosystems Engineering</w:t>
      </w:r>
      <w:r w:rsidRPr="00437BF9">
        <w:rPr>
          <w:rFonts w:ascii="Arial" w:hAnsi="Arial" w:cs="Arial"/>
          <w:noProof/>
          <w:kern w:val="0"/>
          <w:szCs w:val="24"/>
        </w:rPr>
        <w:t xml:space="preserve">, </w:t>
      </w:r>
      <w:r w:rsidRPr="00437BF9">
        <w:rPr>
          <w:rFonts w:ascii="Arial" w:hAnsi="Arial" w:cs="Arial"/>
          <w:i/>
          <w:iCs/>
          <w:noProof/>
          <w:kern w:val="0"/>
          <w:szCs w:val="24"/>
        </w:rPr>
        <w:t>124</w:t>
      </w:r>
      <w:r w:rsidRPr="00437BF9">
        <w:rPr>
          <w:rFonts w:ascii="Arial" w:hAnsi="Arial" w:cs="Arial"/>
          <w:noProof/>
          <w:kern w:val="0"/>
          <w:szCs w:val="24"/>
        </w:rPr>
        <w:t>(0), 1–7. https://doi.org/10.1016/j.biosystemseng.2014.05.007</w:t>
      </w:r>
    </w:p>
    <w:p w14:paraId="5D934C55"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International Union for Conservation of Nature (IUCN). (2016). What are Nature-based Solutions? In </w:t>
      </w:r>
      <w:r w:rsidRPr="00437BF9">
        <w:rPr>
          <w:rFonts w:ascii="Arial" w:hAnsi="Arial" w:cs="Arial"/>
          <w:i/>
          <w:iCs/>
          <w:noProof/>
          <w:kern w:val="0"/>
          <w:szCs w:val="24"/>
        </w:rPr>
        <w:t>Nature-based solutions to address global societal challenges</w:t>
      </w:r>
      <w:r w:rsidRPr="00437BF9">
        <w:rPr>
          <w:rFonts w:ascii="Arial" w:hAnsi="Arial" w:cs="Arial"/>
          <w:noProof/>
          <w:kern w:val="0"/>
          <w:szCs w:val="24"/>
        </w:rPr>
        <w:t>. https://portals.iucn.org/library/sites/library/files/documents/2016-036.pdf</w:t>
      </w:r>
    </w:p>
    <w:p w14:paraId="76E44F90"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International Union for Conservation of Nature (IUCN). (2017). </w:t>
      </w:r>
      <w:r w:rsidRPr="00437BF9">
        <w:rPr>
          <w:rFonts w:ascii="Arial" w:hAnsi="Arial" w:cs="Arial"/>
          <w:i/>
          <w:iCs/>
          <w:noProof/>
          <w:kern w:val="0"/>
          <w:szCs w:val="24"/>
        </w:rPr>
        <w:t>IUCN European Work Programme 2017-2020</w:t>
      </w:r>
      <w:r w:rsidRPr="00437BF9">
        <w:rPr>
          <w:rFonts w:ascii="Arial" w:hAnsi="Arial" w:cs="Arial"/>
          <w:noProof/>
          <w:kern w:val="0"/>
          <w:szCs w:val="24"/>
        </w:rPr>
        <w:t>. Nature-Based Solutions. https://www.iucn.org/regions/europe/our-work/nature-based-solutions</w:t>
      </w:r>
    </w:p>
    <w:p w14:paraId="2FCD3CBA"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Ju, J. H., Xu, H., Yeum, K. J., &amp; Yoon, Y. H. (2020). Effects of hydrophilic polymer on the survival, growth, and flowering characteristics of pineapple sage (Salvia elegans) in unirrigated green roofs. </w:t>
      </w:r>
      <w:r w:rsidRPr="00437BF9">
        <w:rPr>
          <w:rFonts w:ascii="Arial" w:hAnsi="Arial" w:cs="Arial"/>
          <w:i/>
          <w:iCs/>
          <w:noProof/>
          <w:kern w:val="0"/>
          <w:szCs w:val="24"/>
        </w:rPr>
        <w:t>Applied Ecology and Environmental Research</w:t>
      </w:r>
      <w:r w:rsidRPr="00437BF9">
        <w:rPr>
          <w:rFonts w:ascii="Arial" w:hAnsi="Arial" w:cs="Arial"/>
          <w:noProof/>
          <w:kern w:val="0"/>
          <w:szCs w:val="24"/>
        </w:rPr>
        <w:t xml:space="preserve">, </w:t>
      </w:r>
      <w:r w:rsidRPr="00437BF9">
        <w:rPr>
          <w:rFonts w:ascii="Arial" w:hAnsi="Arial" w:cs="Arial"/>
          <w:i/>
          <w:iCs/>
          <w:noProof/>
          <w:kern w:val="0"/>
          <w:szCs w:val="24"/>
        </w:rPr>
        <w:t>18</w:t>
      </w:r>
      <w:r w:rsidRPr="00437BF9">
        <w:rPr>
          <w:rFonts w:ascii="Arial" w:hAnsi="Arial" w:cs="Arial"/>
          <w:noProof/>
          <w:kern w:val="0"/>
          <w:szCs w:val="24"/>
        </w:rPr>
        <w:t>(3), 3887–3896. https://doi.org/10.15666/aeer/1803_38873896</w:t>
      </w:r>
    </w:p>
    <w:p w14:paraId="6F9F7752"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Karteris, M., Theodoridou, I., Mallinis, G., Tsiros, E., &amp; Karteris, A. (2016). Towards a green sustainable strategy for Mediterranean cities: Assessing the benefits of large-scale green roofs implementation in Thessaloniki, Northern Greece, using environmental </w:t>
      </w:r>
      <w:r w:rsidRPr="00437BF9">
        <w:rPr>
          <w:rFonts w:ascii="Arial" w:hAnsi="Arial" w:cs="Arial"/>
          <w:noProof/>
          <w:kern w:val="0"/>
          <w:szCs w:val="24"/>
        </w:rPr>
        <w:lastRenderedPageBreak/>
        <w:t xml:space="preserve">modelling, GIS and very high spatial resolution remote sensing data. </w:t>
      </w:r>
      <w:r w:rsidRPr="00437BF9">
        <w:rPr>
          <w:rFonts w:ascii="Arial" w:hAnsi="Arial" w:cs="Arial"/>
          <w:i/>
          <w:iCs/>
          <w:noProof/>
          <w:kern w:val="0"/>
          <w:szCs w:val="24"/>
        </w:rPr>
        <w:t>Renewable and Sustainable Energy Reviews</w:t>
      </w:r>
      <w:r w:rsidRPr="00437BF9">
        <w:rPr>
          <w:rFonts w:ascii="Arial" w:hAnsi="Arial" w:cs="Arial"/>
          <w:noProof/>
          <w:kern w:val="0"/>
          <w:szCs w:val="24"/>
        </w:rPr>
        <w:t xml:space="preserve">, </w:t>
      </w:r>
      <w:r w:rsidRPr="00437BF9">
        <w:rPr>
          <w:rFonts w:ascii="Arial" w:hAnsi="Arial" w:cs="Arial"/>
          <w:i/>
          <w:iCs/>
          <w:noProof/>
          <w:kern w:val="0"/>
          <w:szCs w:val="24"/>
        </w:rPr>
        <w:t>58</w:t>
      </w:r>
      <w:r w:rsidRPr="00437BF9">
        <w:rPr>
          <w:rFonts w:ascii="Arial" w:hAnsi="Arial" w:cs="Arial"/>
          <w:noProof/>
          <w:kern w:val="0"/>
          <w:szCs w:val="24"/>
        </w:rPr>
        <w:t>, 510–525. https://doi.org/10.1016/j.rser.2015.11.098</w:t>
      </w:r>
    </w:p>
    <w:p w14:paraId="53B17721"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Kuoppamäki, K., Hagner, M., Lehvävirta, S., &amp; Setälä, H. (2015). Biochar amendment in the green roof substrate affects runoff quality and quantity. </w:t>
      </w:r>
      <w:r w:rsidRPr="00437BF9">
        <w:rPr>
          <w:rFonts w:ascii="Arial" w:hAnsi="Arial" w:cs="Arial"/>
          <w:i/>
          <w:iCs/>
          <w:noProof/>
          <w:kern w:val="0"/>
          <w:szCs w:val="24"/>
        </w:rPr>
        <w:t>Ecological Engineering</w:t>
      </w:r>
      <w:r w:rsidRPr="00437BF9">
        <w:rPr>
          <w:rFonts w:ascii="Arial" w:hAnsi="Arial" w:cs="Arial"/>
          <w:noProof/>
          <w:kern w:val="0"/>
          <w:szCs w:val="24"/>
        </w:rPr>
        <w:t xml:space="preserve">, </w:t>
      </w:r>
      <w:r w:rsidRPr="00437BF9">
        <w:rPr>
          <w:rFonts w:ascii="Arial" w:hAnsi="Arial" w:cs="Arial"/>
          <w:i/>
          <w:iCs/>
          <w:noProof/>
          <w:kern w:val="0"/>
          <w:szCs w:val="24"/>
        </w:rPr>
        <w:t>88</w:t>
      </w:r>
      <w:r w:rsidRPr="00437BF9">
        <w:rPr>
          <w:rFonts w:ascii="Arial" w:hAnsi="Arial" w:cs="Arial"/>
          <w:noProof/>
          <w:kern w:val="0"/>
          <w:szCs w:val="24"/>
        </w:rPr>
        <w:t>, 1–9. https://doi.org/10.1016/j.ecoleng.2015.12.010</w:t>
      </w:r>
    </w:p>
    <w:p w14:paraId="5A340E05"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Kuoppamäki, K., &amp; Lehvävirta, S. (2016). Mitigating nutrient leaching from green roofs with biochar. </w:t>
      </w:r>
      <w:r w:rsidRPr="00437BF9">
        <w:rPr>
          <w:rFonts w:ascii="Arial" w:hAnsi="Arial" w:cs="Arial"/>
          <w:i/>
          <w:iCs/>
          <w:noProof/>
          <w:kern w:val="0"/>
          <w:szCs w:val="24"/>
        </w:rPr>
        <w:t>Landscape and Urban Planning</w:t>
      </w:r>
      <w:r w:rsidRPr="00437BF9">
        <w:rPr>
          <w:rFonts w:ascii="Arial" w:hAnsi="Arial" w:cs="Arial"/>
          <w:noProof/>
          <w:kern w:val="0"/>
          <w:szCs w:val="24"/>
        </w:rPr>
        <w:t xml:space="preserve">, </w:t>
      </w:r>
      <w:r w:rsidRPr="00437BF9">
        <w:rPr>
          <w:rFonts w:ascii="Arial" w:hAnsi="Arial" w:cs="Arial"/>
          <w:i/>
          <w:iCs/>
          <w:noProof/>
          <w:kern w:val="0"/>
          <w:szCs w:val="24"/>
        </w:rPr>
        <w:t>152</w:t>
      </w:r>
      <w:r w:rsidRPr="00437BF9">
        <w:rPr>
          <w:rFonts w:ascii="Arial" w:hAnsi="Arial" w:cs="Arial"/>
          <w:noProof/>
          <w:kern w:val="0"/>
          <w:szCs w:val="24"/>
        </w:rPr>
        <w:t>, 39–48. https://doi.org/10.1016/j.landurbplan.2016.04.006</w:t>
      </w:r>
    </w:p>
    <w:p w14:paraId="1A0AB846"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Li, Y., &amp; Babcock, R. W. (2014). Green roofs against pollution and climate change. A review. </w:t>
      </w:r>
      <w:r w:rsidRPr="00437BF9">
        <w:rPr>
          <w:rFonts w:ascii="Arial" w:hAnsi="Arial" w:cs="Arial"/>
          <w:i/>
          <w:iCs/>
          <w:noProof/>
          <w:kern w:val="0"/>
          <w:szCs w:val="24"/>
        </w:rPr>
        <w:t>Agronomy for Sustainable Development</w:t>
      </w:r>
      <w:r w:rsidRPr="00437BF9">
        <w:rPr>
          <w:rFonts w:ascii="Arial" w:hAnsi="Arial" w:cs="Arial"/>
          <w:noProof/>
          <w:kern w:val="0"/>
          <w:szCs w:val="24"/>
        </w:rPr>
        <w:t xml:space="preserve">, </w:t>
      </w:r>
      <w:r w:rsidRPr="00437BF9">
        <w:rPr>
          <w:rFonts w:ascii="Arial" w:hAnsi="Arial" w:cs="Arial"/>
          <w:i/>
          <w:iCs/>
          <w:noProof/>
          <w:kern w:val="0"/>
          <w:szCs w:val="24"/>
        </w:rPr>
        <w:t>34</w:t>
      </w:r>
      <w:r w:rsidRPr="00437BF9">
        <w:rPr>
          <w:rFonts w:ascii="Arial" w:hAnsi="Arial" w:cs="Arial"/>
          <w:noProof/>
          <w:kern w:val="0"/>
          <w:szCs w:val="24"/>
        </w:rPr>
        <w:t>(4), 695–705. https://doi.org/10.1007/s13593-014-0230-9</w:t>
      </w:r>
    </w:p>
    <w:p w14:paraId="284C22D5"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Liu, L., Sun, L., Niu, J., &amp; Riley, W. J. (2020). </w:t>
      </w:r>
      <w:r w:rsidRPr="00437BF9">
        <w:rPr>
          <w:rFonts w:ascii="Arial" w:hAnsi="Arial" w:cs="Arial"/>
          <w:i/>
          <w:iCs/>
          <w:noProof/>
          <w:kern w:val="0"/>
          <w:szCs w:val="24"/>
        </w:rPr>
        <w:t>Modeling Green Roof Potential to Mitigate Urban Flooding in a Chinese City</w:t>
      </w:r>
      <w:r w:rsidRPr="00437BF9">
        <w:rPr>
          <w:rFonts w:ascii="Arial" w:hAnsi="Arial" w:cs="Arial"/>
          <w:noProof/>
          <w:kern w:val="0"/>
          <w:szCs w:val="24"/>
        </w:rPr>
        <w:t>.</w:t>
      </w:r>
    </w:p>
    <w:p w14:paraId="0BE11136"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Lundholm, J. T. (2015). Green roof plant species diversity improves ecosystem multifunctionality. </w:t>
      </w:r>
      <w:r w:rsidRPr="00437BF9">
        <w:rPr>
          <w:rFonts w:ascii="Arial" w:hAnsi="Arial" w:cs="Arial"/>
          <w:i/>
          <w:iCs/>
          <w:noProof/>
          <w:kern w:val="0"/>
          <w:szCs w:val="24"/>
        </w:rPr>
        <w:t>Journal of Applied Ecology</w:t>
      </w:r>
      <w:r w:rsidRPr="00437BF9">
        <w:rPr>
          <w:rFonts w:ascii="Arial" w:hAnsi="Arial" w:cs="Arial"/>
          <w:noProof/>
          <w:kern w:val="0"/>
          <w:szCs w:val="24"/>
        </w:rPr>
        <w:t xml:space="preserve">, </w:t>
      </w:r>
      <w:r w:rsidRPr="00437BF9">
        <w:rPr>
          <w:rFonts w:ascii="Arial" w:hAnsi="Arial" w:cs="Arial"/>
          <w:i/>
          <w:iCs/>
          <w:noProof/>
          <w:kern w:val="0"/>
          <w:szCs w:val="24"/>
        </w:rPr>
        <w:t>52</w:t>
      </w:r>
      <w:r w:rsidRPr="00437BF9">
        <w:rPr>
          <w:rFonts w:ascii="Arial" w:hAnsi="Arial" w:cs="Arial"/>
          <w:noProof/>
          <w:kern w:val="0"/>
          <w:szCs w:val="24"/>
        </w:rPr>
        <w:t>(3), 726–734. https://doi.org/10.1111/1365-2664.12425</w:t>
      </w:r>
    </w:p>
    <w:p w14:paraId="545DF133"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Luo, H., Liu, X., Anderson, B. C., Zhang, K., Li, X., Huang, B., Li, M., Mo, Y., Fan, L., Shen, Q., Chen, F., &amp; Jiang, M. (2015). Carbon sequestration potential of green roofs using mixed-sewage-sludge substrate in Chengdu World Modern Garden City. </w:t>
      </w:r>
      <w:r w:rsidRPr="00437BF9">
        <w:rPr>
          <w:rFonts w:ascii="Arial" w:hAnsi="Arial" w:cs="Arial"/>
          <w:i/>
          <w:iCs/>
          <w:noProof/>
          <w:kern w:val="0"/>
          <w:szCs w:val="24"/>
        </w:rPr>
        <w:t>Ecological Indicators</w:t>
      </w:r>
      <w:r w:rsidRPr="00437BF9">
        <w:rPr>
          <w:rFonts w:ascii="Arial" w:hAnsi="Arial" w:cs="Arial"/>
          <w:noProof/>
          <w:kern w:val="0"/>
          <w:szCs w:val="24"/>
        </w:rPr>
        <w:t xml:space="preserve">, </w:t>
      </w:r>
      <w:r w:rsidRPr="00437BF9">
        <w:rPr>
          <w:rFonts w:ascii="Arial" w:hAnsi="Arial" w:cs="Arial"/>
          <w:i/>
          <w:iCs/>
          <w:noProof/>
          <w:kern w:val="0"/>
          <w:szCs w:val="24"/>
        </w:rPr>
        <w:t>49</w:t>
      </w:r>
      <w:r w:rsidRPr="00437BF9">
        <w:rPr>
          <w:rFonts w:ascii="Arial" w:hAnsi="Arial" w:cs="Arial"/>
          <w:noProof/>
          <w:kern w:val="0"/>
          <w:szCs w:val="24"/>
        </w:rPr>
        <w:t>, 247–259. https://doi.org/10.1016/j.ecolind.2014.10.016</w:t>
      </w:r>
    </w:p>
    <w:p w14:paraId="32FB0E4A"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Mayrand, F., &amp; Clergeau, P. (2018). Green roofs and greenwalls for biodiversity conservation: A contribution to urban connectivity? </w:t>
      </w:r>
      <w:r w:rsidRPr="00437BF9">
        <w:rPr>
          <w:rFonts w:ascii="Arial" w:hAnsi="Arial" w:cs="Arial"/>
          <w:i/>
          <w:iCs/>
          <w:noProof/>
          <w:kern w:val="0"/>
          <w:szCs w:val="24"/>
        </w:rPr>
        <w:t>Sustainability (Switzerland)</w:t>
      </w:r>
      <w:r w:rsidRPr="00437BF9">
        <w:rPr>
          <w:rFonts w:ascii="Arial" w:hAnsi="Arial" w:cs="Arial"/>
          <w:noProof/>
          <w:kern w:val="0"/>
          <w:szCs w:val="24"/>
        </w:rPr>
        <w:t xml:space="preserve">, </w:t>
      </w:r>
      <w:r w:rsidRPr="00437BF9">
        <w:rPr>
          <w:rFonts w:ascii="Arial" w:hAnsi="Arial" w:cs="Arial"/>
          <w:i/>
          <w:iCs/>
          <w:noProof/>
          <w:kern w:val="0"/>
          <w:szCs w:val="24"/>
        </w:rPr>
        <w:t>10</w:t>
      </w:r>
      <w:r w:rsidRPr="00437BF9">
        <w:rPr>
          <w:rFonts w:ascii="Arial" w:hAnsi="Arial" w:cs="Arial"/>
          <w:noProof/>
          <w:kern w:val="0"/>
          <w:szCs w:val="24"/>
        </w:rPr>
        <w:t>(4). https://doi.org/10.3390/su10040985</w:t>
      </w:r>
    </w:p>
    <w:p w14:paraId="646001C6"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Mentens, J., Raes, D., &amp; Hermy, M. (2006). Green roofs as a tool for solving the rainwater runoff problem in the urbanized 21st century? </w:t>
      </w:r>
      <w:r w:rsidRPr="00437BF9">
        <w:rPr>
          <w:rFonts w:ascii="Arial" w:hAnsi="Arial" w:cs="Arial"/>
          <w:i/>
          <w:iCs/>
          <w:noProof/>
          <w:kern w:val="0"/>
          <w:szCs w:val="24"/>
        </w:rPr>
        <w:t>Landscape and Urban Planning</w:t>
      </w:r>
      <w:r w:rsidRPr="00437BF9">
        <w:rPr>
          <w:rFonts w:ascii="Arial" w:hAnsi="Arial" w:cs="Arial"/>
          <w:noProof/>
          <w:kern w:val="0"/>
          <w:szCs w:val="24"/>
        </w:rPr>
        <w:t xml:space="preserve">, </w:t>
      </w:r>
      <w:r w:rsidRPr="00437BF9">
        <w:rPr>
          <w:rFonts w:ascii="Arial" w:hAnsi="Arial" w:cs="Arial"/>
          <w:i/>
          <w:iCs/>
          <w:noProof/>
          <w:kern w:val="0"/>
          <w:szCs w:val="24"/>
        </w:rPr>
        <w:t>77</w:t>
      </w:r>
      <w:r w:rsidRPr="00437BF9">
        <w:rPr>
          <w:rFonts w:ascii="Arial" w:hAnsi="Arial" w:cs="Arial"/>
          <w:noProof/>
          <w:kern w:val="0"/>
          <w:szCs w:val="24"/>
        </w:rPr>
        <w:t>(3), 217–226. https://doi.org/10.1016/j.landurbplan.2005.02.010</w:t>
      </w:r>
    </w:p>
    <w:p w14:paraId="5231016A"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Oberndorfer, E., Lundholm, J., Bass, B., Coffman, R. R., Doshi, H., Dunnett, N., Gaffin, S., Köhler, M., Liu, K. K. Y., &amp; Rowe, B. (2007). Green Roofs as Urban Ecosystems: Ecological Structures, Functions, and Services. </w:t>
      </w:r>
      <w:r w:rsidRPr="00437BF9">
        <w:rPr>
          <w:rFonts w:ascii="Arial" w:hAnsi="Arial" w:cs="Arial"/>
          <w:i/>
          <w:iCs/>
          <w:noProof/>
          <w:kern w:val="0"/>
          <w:szCs w:val="24"/>
        </w:rPr>
        <w:t>BioScience</w:t>
      </w:r>
      <w:r w:rsidRPr="00437BF9">
        <w:rPr>
          <w:rFonts w:ascii="Arial" w:hAnsi="Arial" w:cs="Arial"/>
          <w:noProof/>
          <w:kern w:val="0"/>
          <w:szCs w:val="24"/>
        </w:rPr>
        <w:t xml:space="preserve">, </w:t>
      </w:r>
      <w:r w:rsidRPr="00437BF9">
        <w:rPr>
          <w:rFonts w:ascii="Arial" w:hAnsi="Arial" w:cs="Arial"/>
          <w:i/>
          <w:iCs/>
          <w:noProof/>
          <w:kern w:val="0"/>
          <w:szCs w:val="24"/>
        </w:rPr>
        <w:t>57</w:t>
      </w:r>
      <w:r w:rsidRPr="00437BF9">
        <w:rPr>
          <w:rFonts w:ascii="Arial" w:hAnsi="Arial" w:cs="Arial"/>
          <w:noProof/>
          <w:kern w:val="0"/>
          <w:szCs w:val="24"/>
        </w:rPr>
        <w:t>(10), 823–833. https://doi.org/10.1641/b571005</w:t>
      </w:r>
    </w:p>
    <w:p w14:paraId="3D101C58"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Organización de las Naciones Unidas (ONU). (2015). Temas Hábitat III N</w:t>
      </w:r>
      <w:r w:rsidRPr="00437BF9">
        <w:rPr>
          <w:rFonts w:ascii="Arial" w:hAnsi="Arial" w:cs="Arial"/>
          <w:noProof/>
          <w:kern w:val="0"/>
          <w:szCs w:val="24"/>
          <w:vertAlign w:val="superscript"/>
        </w:rPr>
        <w:t>o</w:t>
      </w:r>
      <w:r w:rsidRPr="00437BF9">
        <w:rPr>
          <w:rFonts w:ascii="Arial" w:hAnsi="Arial" w:cs="Arial"/>
          <w:noProof/>
          <w:kern w:val="0"/>
          <w:szCs w:val="24"/>
        </w:rPr>
        <w:t xml:space="preserve"> 11 Espacio Público. In </w:t>
      </w:r>
      <w:r w:rsidRPr="00437BF9">
        <w:rPr>
          <w:rFonts w:ascii="Arial" w:hAnsi="Arial" w:cs="Arial"/>
          <w:i/>
          <w:iCs/>
          <w:noProof/>
          <w:kern w:val="0"/>
          <w:szCs w:val="24"/>
        </w:rPr>
        <w:t>Conferencia de las Naciones Unidas sobre la Vivienda y el Desarrollo Urbano Sostenible</w:t>
      </w:r>
      <w:r w:rsidRPr="00437BF9">
        <w:rPr>
          <w:rFonts w:ascii="Arial" w:hAnsi="Arial" w:cs="Arial"/>
          <w:noProof/>
          <w:kern w:val="0"/>
          <w:szCs w:val="24"/>
        </w:rPr>
        <w:t xml:space="preserve"> (pp. 1–9).</w:t>
      </w:r>
    </w:p>
    <w:p w14:paraId="2E1C37D5"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Osuna-Motta, I., Herrera-Cáceres, C., &amp; López-Bernal, O. (2017). Techo plantado como dispositivo de climatización pasiva en el trópico. </w:t>
      </w:r>
      <w:r w:rsidRPr="00437BF9">
        <w:rPr>
          <w:rFonts w:ascii="Arial" w:hAnsi="Arial" w:cs="Arial"/>
          <w:i/>
          <w:iCs/>
          <w:noProof/>
          <w:kern w:val="0"/>
          <w:szCs w:val="24"/>
        </w:rPr>
        <w:t>Revista de Arquitectura</w:t>
      </w:r>
      <w:r w:rsidRPr="00437BF9">
        <w:rPr>
          <w:rFonts w:ascii="Arial" w:hAnsi="Arial" w:cs="Arial"/>
          <w:noProof/>
          <w:kern w:val="0"/>
          <w:szCs w:val="24"/>
        </w:rPr>
        <w:t xml:space="preserve">, </w:t>
      </w:r>
      <w:r w:rsidRPr="00437BF9">
        <w:rPr>
          <w:rFonts w:ascii="Arial" w:hAnsi="Arial" w:cs="Arial"/>
          <w:i/>
          <w:iCs/>
          <w:noProof/>
          <w:kern w:val="0"/>
          <w:szCs w:val="24"/>
        </w:rPr>
        <w:t>19</w:t>
      </w:r>
      <w:r w:rsidRPr="00437BF9">
        <w:rPr>
          <w:rFonts w:ascii="Arial" w:hAnsi="Arial" w:cs="Arial"/>
          <w:noProof/>
          <w:kern w:val="0"/>
          <w:szCs w:val="24"/>
        </w:rPr>
        <w:t>(1), 50–64. https://doi.org/10.14718/revarq.2017.19.1.1109</w:t>
      </w:r>
    </w:p>
    <w:p w14:paraId="0B96B462"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Oviedo, N., &amp; Torres, A. (2014). Atenuación hídrica y beneficios hidrológicos debido a la implementación de techos verdes ecoproductivos en zonas urbanas marginadas. </w:t>
      </w:r>
      <w:r w:rsidRPr="00437BF9">
        <w:rPr>
          <w:rFonts w:ascii="Arial" w:hAnsi="Arial" w:cs="Arial"/>
          <w:i/>
          <w:iCs/>
          <w:noProof/>
          <w:kern w:val="0"/>
          <w:szCs w:val="24"/>
        </w:rPr>
        <w:t>Ingenieria y Universidad</w:t>
      </w:r>
      <w:r w:rsidRPr="00437BF9">
        <w:rPr>
          <w:rFonts w:ascii="Arial" w:hAnsi="Arial" w:cs="Arial"/>
          <w:noProof/>
          <w:kern w:val="0"/>
          <w:szCs w:val="24"/>
        </w:rPr>
        <w:t xml:space="preserve">, </w:t>
      </w:r>
      <w:r w:rsidRPr="00437BF9">
        <w:rPr>
          <w:rFonts w:ascii="Arial" w:hAnsi="Arial" w:cs="Arial"/>
          <w:i/>
          <w:iCs/>
          <w:noProof/>
          <w:kern w:val="0"/>
          <w:szCs w:val="24"/>
        </w:rPr>
        <w:t>18</w:t>
      </w:r>
      <w:r w:rsidRPr="00437BF9">
        <w:rPr>
          <w:rFonts w:ascii="Arial" w:hAnsi="Arial" w:cs="Arial"/>
          <w:noProof/>
          <w:kern w:val="0"/>
          <w:szCs w:val="24"/>
        </w:rPr>
        <w:t>(2), 291–308. https://doi.org/10.11144/Javeriana.IYU18-2.hahb</w:t>
      </w:r>
    </w:p>
    <w:p w14:paraId="2F92CA73"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Pérez, G., Vila, A., Rincón, L., Solé, C., &amp; Cabeza, L. F. (2012). Use of rubber crumbs as drainage layer in green roofs as potential energy improvement material. </w:t>
      </w:r>
      <w:r w:rsidRPr="00437BF9">
        <w:rPr>
          <w:rFonts w:ascii="Arial" w:hAnsi="Arial" w:cs="Arial"/>
          <w:i/>
          <w:iCs/>
          <w:noProof/>
          <w:kern w:val="0"/>
          <w:szCs w:val="24"/>
        </w:rPr>
        <w:t>Applied Energy</w:t>
      </w:r>
      <w:r w:rsidRPr="00437BF9">
        <w:rPr>
          <w:rFonts w:ascii="Arial" w:hAnsi="Arial" w:cs="Arial"/>
          <w:noProof/>
          <w:kern w:val="0"/>
          <w:szCs w:val="24"/>
        </w:rPr>
        <w:t xml:space="preserve">, </w:t>
      </w:r>
      <w:r w:rsidRPr="00437BF9">
        <w:rPr>
          <w:rFonts w:ascii="Arial" w:hAnsi="Arial" w:cs="Arial"/>
          <w:i/>
          <w:iCs/>
          <w:noProof/>
          <w:kern w:val="0"/>
          <w:szCs w:val="24"/>
        </w:rPr>
        <w:t>97</w:t>
      </w:r>
      <w:r w:rsidRPr="00437BF9">
        <w:rPr>
          <w:rFonts w:ascii="Arial" w:hAnsi="Arial" w:cs="Arial"/>
          <w:noProof/>
          <w:kern w:val="0"/>
          <w:szCs w:val="24"/>
        </w:rPr>
        <w:t>, 347–354. https://doi.org/10.1016/j.apenergy.2011.11.051</w:t>
      </w:r>
    </w:p>
    <w:p w14:paraId="2D6D761F"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lastRenderedPageBreak/>
        <w:t xml:space="preserve">Porcaro, M., Ruiz de Adana, M., Comino, F., Peña, A., Martín-Consuegra, E., &amp; Vanwalleghem, T. (2019). Long term experimental analysis of thermal performance of extensive green roofs with different substrates in Mediterranean climate. </w:t>
      </w:r>
      <w:r w:rsidRPr="00437BF9">
        <w:rPr>
          <w:rFonts w:ascii="Arial" w:hAnsi="Arial" w:cs="Arial"/>
          <w:i/>
          <w:iCs/>
          <w:noProof/>
          <w:kern w:val="0"/>
          <w:szCs w:val="24"/>
        </w:rPr>
        <w:t>Energy and Buildings</w:t>
      </w:r>
      <w:r w:rsidRPr="00437BF9">
        <w:rPr>
          <w:rFonts w:ascii="Arial" w:hAnsi="Arial" w:cs="Arial"/>
          <w:noProof/>
          <w:kern w:val="0"/>
          <w:szCs w:val="24"/>
        </w:rPr>
        <w:t xml:space="preserve">, </w:t>
      </w:r>
      <w:r w:rsidRPr="00437BF9">
        <w:rPr>
          <w:rFonts w:ascii="Arial" w:hAnsi="Arial" w:cs="Arial"/>
          <w:i/>
          <w:iCs/>
          <w:noProof/>
          <w:kern w:val="0"/>
          <w:szCs w:val="24"/>
        </w:rPr>
        <w:t>197</w:t>
      </w:r>
      <w:r w:rsidRPr="00437BF9">
        <w:rPr>
          <w:rFonts w:ascii="Arial" w:hAnsi="Arial" w:cs="Arial"/>
          <w:noProof/>
          <w:kern w:val="0"/>
          <w:szCs w:val="24"/>
        </w:rPr>
        <w:t>, 18–33. https://doi.org/10.1016/j.enbuild.2019.05.041</w:t>
      </w:r>
    </w:p>
    <w:p w14:paraId="5B593CA8"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Procuraduría Ambiental y del Ordenamiento Territorial del DF (PAOT). (2021). </w:t>
      </w:r>
      <w:r w:rsidRPr="00437BF9">
        <w:rPr>
          <w:rFonts w:ascii="Arial" w:hAnsi="Arial" w:cs="Arial"/>
          <w:i/>
          <w:iCs/>
          <w:noProof/>
          <w:kern w:val="0"/>
          <w:szCs w:val="24"/>
        </w:rPr>
        <w:t>Ley Ambiental de Protección a la Tierra en el Distrito Federal (LAPTDF)</w:t>
      </w:r>
      <w:r w:rsidRPr="00437BF9">
        <w:rPr>
          <w:rFonts w:ascii="Arial" w:hAnsi="Arial" w:cs="Arial"/>
          <w:noProof/>
          <w:kern w:val="0"/>
          <w:szCs w:val="24"/>
        </w:rPr>
        <w:t>.</w:t>
      </w:r>
    </w:p>
    <w:p w14:paraId="0978D81E"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Qiu, D., Peng, H., Li, T., &amp; Qi, Y. (2020). Application of stabilized sludge to extensive green roofs in Shanghai: Feasibility and nitrogen leaching control. </w:t>
      </w:r>
      <w:r w:rsidRPr="00437BF9">
        <w:rPr>
          <w:rFonts w:ascii="Arial" w:hAnsi="Arial" w:cs="Arial"/>
          <w:i/>
          <w:iCs/>
          <w:noProof/>
          <w:kern w:val="0"/>
          <w:szCs w:val="24"/>
        </w:rPr>
        <w:t>Science of the Total Environment</w:t>
      </w:r>
      <w:r w:rsidRPr="00437BF9">
        <w:rPr>
          <w:rFonts w:ascii="Arial" w:hAnsi="Arial" w:cs="Arial"/>
          <w:noProof/>
          <w:kern w:val="0"/>
          <w:szCs w:val="24"/>
        </w:rPr>
        <w:t xml:space="preserve">, </w:t>
      </w:r>
      <w:r w:rsidRPr="00437BF9">
        <w:rPr>
          <w:rFonts w:ascii="Arial" w:hAnsi="Arial" w:cs="Arial"/>
          <w:i/>
          <w:iCs/>
          <w:noProof/>
          <w:kern w:val="0"/>
          <w:szCs w:val="24"/>
        </w:rPr>
        <w:t>732</w:t>
      </w:r>
      <w:r w:rsidRPr="00437BF9">
        <w:rPr>
          <w:rFonts w:ascii="Arial" w:hAnsi="Arial" w:cs="Arial"/>
          <w:noProof/>
          <w:kern w:val="0"/>
          <w:szCs w:val="24"/>
        </w:rPr>
        <w:t>. https://doi.org/10.1016/j.scitotenv.2020.138898</w:t>
      </w:r>
    </w:p>
    <w:p w14:paraId="7C07BDA1"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Qiu, G., Li, H. yong, Zhang, Q. tao, Chen, W., Liang, X. jian, &amp; Li, X. ze. (2013). Effects of Evapotranspiration on Mitigation of Urban Temperature by Vegetation and Urban Agriculture. </w:t>
      </w:r>
      <w:r w:rsidRPr="00437BF9">
        <w:rPr>
          <w:rFonts w:ascii="Arial" w:hAnsi="Arial" w:cs="Arial"/>
          <w:i/>
          <w:iCs/>
          <w:noProof/>
          <w:kern w:val="0"/>
          <w:szCs w:val="24"/>
        </w:rPr>
        <w:t>Journal of Integrative Agriculture</w:t>
      </w:r>
      <w:r w:rsidRPr="00437BF9">
        <w:rPr>
          <w:rFonts w:ascii="Arial" w:hAnsi="Arial" w:cs="Arial"/>
          <w:noProof/>
          <w:kern w:val="0"/>
          <w:szCs w:val="24"/>
        </w:rPr>
        <w:t xml:space="preserve">, </w:t>
      </w:r>
      <w:r w:rsidRPr="00437BF9">
        <w:rPr>
          <w:rFonts w:ascii="Arial" w:hAnsi="Arial" w:cs="Arial"/>
          <w:i/>
          <w:iCs/>
          <w:noProof/>
          <w:kern w:val="0"/>
          <w:szCs w:val="24"/>
        </w:rPr>
        <w:t>12</w:t>
      </w:r>
      <w:r w:rsidRPr="00437BF9">
        <w:rPr>
          <w:rFonts w:ascii="Arial" w:hAnsi="Arial" w:cs="Arial"/>
          <w:noProof/>
          <w:kern w:val="0"/>
          <w:szCs w:val="24"/>
        </w:rPr>
        <w:t>(8), 1307–1315. https://doi.org/10.1016/S2095-3119(13)60543-2</w:t>
      </w:r>
    </w:p>
    <w:p w14:paraId="5002B54F"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Quezada-García, S., Espinosa-Paredes, G., Escobedo-Izquierdo, M. A., Vázquez-Rodríguez, A., Vázquez-Rodríguez, R., &amp; Ambriz-García, J. J. (2017). Heterogeneous model for heat transfer in Green Roof Systems. </w:t>
      </w:r>
      <w:r w:rsidRPr="00437BF9">
        <w:rPr>
          <w:rFonts w:ascii="Arial" w:hAnsi="Arial" w:cs="Arial"/>
          <w:i/>
          <w:iCs/>
          <w:noProof/>
          <w:kern w:val="0"/>
          <w:szCs w:val="24"/>
        </w:rPr>
        <w:t>Energy and Buildings</w:t>
      </w:r>
      <w:r w:rsidRPr="00437BF9">
        <w:rPr>
          <w:rFonts w:ascii="Arial" w:hAnsi="Arial" w:cs="Arial"/>
          <w:noProof/>
          <w:kern w:val="0"/>
          <w:szCs w:val="24"/>
        </w:rPr>
        <w:t xml:space="preserve">, </w:t>
      </w:r>
      <w:r w:rsidRPr="00437BF9">
        <w:rPr>
          <w:rFonts w:ascii="Arial" w:hAnsi="Arial" w:cs="Arial"/>
          <w:i/>
          <w:iCs/>
          <w:noProof/>
          <w:kern w:val="0"/>
          <w:szCs w:val="24"/>
        </w:rPr>
        <w:t>139</w:t>
      </w:r>
      <w:r w:rsidRPr="00437BF9">
        <w:rPr>
          <w:rFonts w:ascii="Arial" w:hAnsi="Arial" w:cs="Arial"/>
          <w:noProof/>
          <w:kern w:val="0"/>
          <w:szCs w:val="24"/>
        </w:rPr>
        <w:t>, 205–213. https://doi.org/10.1016/j.enbuild.2017.01.015</w:t>
      </w:r>
    </w:p>
    <w:p w14:paraId="12F2803A"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Rincón, L., Coma, J., Pérez, G., Castell, A., Boer, D., &amp; Cabeza, L. F. (2014). Environmental performance of recycled rubber as drainage layer in extensive green roofs. A comparative Life Cycle Assessment. In </w:t>
      </w:r>
      <w:r w:rsidRPr="00437BF9">
        <w:rPr>
          <w:rFonts w:ascii="Arial" w:hAnsi="Arial" w:cs="Arial"/>
          <w:i/>
          <w:iCs/>
          <w:noProof/>
          <w:kern w:val="0"/>
          <w:szCs w:val="24"/>
        </w:rPr>
        <w:t>Building and Environment</w:t>
      </w:r>
      <w:r w:rsidRPr="00437BF9">
        <w:rPr>
          <w:rFonts w:ascii="Arial" w:hAnsi="Arial" w:cs="Arial"/>
          <w:noProof/>
          <w:kern w:val="0"/>
          <w:szCs w:val="24"/>
        </w:rPr>
        <w:t xml:space="preserve"> (Vol. 74). Elsevier Ltd. https://doi.org/10.1016/j.buildenv.2014.01.001</w:t>
      </w:r>
    </w:p>
    <w:p w14:paraId="7C2DF374"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Rosatto, H., Meyer, M., Laureda, D., Cazorla, L., Barrera, D., Gamboa, P., Villalba, G., Bargiela, M., Pruzzo, L., Plaza, L. R., Mazzeo, N., Caso, C., Rocca, C., Patricia, H., Kohan, D., &amp; Quaintenne, E. (2013). Eficiencia en la retención del agua de lluvia de cubiertas vegetadas de tipo “extensivo” e “intensivo.” </w:t>
      </w:r>
      <w:r w:rsidRPr="00437BF9">
        <w:rPr>
          <w:rFonts w:ascii="Arial" w:hAnsi="Arial" w:cs="Arial"/>
          <w:i/>
          <w:iCs/>
          <w:noProof/>
          <w:kern w:val="0"/>
          <w:szCs w:val="24"/>
        </w:rPr>
        <w:t>Revista de La Facultad de Ciencias Agrarias</w:t>
      </w:r>
      <w:r w:rsidRPr="00437BF9">
        <w:rPr>
          <w:rFonts w:ascii="Arial" w:hAnsi="Arial" w:cs="Arial"/>
          <w:noProof/>
          <w:kern w:val="0"/>
          <w:szCs w:val="24"/>
        </w:rPr>
        <w:t xml:space="preserve">, </w:t>
      </w:r>
      <w:r w:rsidRPr="00437BF9">
        <w:rPr>
          <w:rFonts w:ascii="Arial" w:hAnsi="Arial" w:cs="Arial"/>
          <w:i/>
          <w:iCs/>
          <w:noProof/>
          <w:kern w:val="0"/>
          <w:szCs w:val="24"/>
        </w:rPr>
        <w:t>45</w:t>
      </w:r>
      <w:r w:rsidRPr="00437BF9">
        <w:rPr>
          <w:rFonts w:ascii="Arial" w:hAnsi="Arial" w:cs="Arial"/>
          <w:noProof/>
          <w:kern w:val="0"/>
          <w:szCs w:val="24"/>
        </w:rPr>
        <w:t>(1), 169–183.</w:t>
      </w:r>
    </w:p>
    <w:p w14:paraId="09E1A6CD"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Rowe, D. B. (2011). Green roofs as a means of pollution abatement. </w:t>
      </w:r>
      <w:r w:rsidRPr="00437BF9">
        <w:rPr>
          <w:rFonts w:ascii="Arial" w:hAnsi="Arial" w:cs="Arial"/>
          <w:i/>
          <w:iCs/>
          <w:noProof/>
          <w:kern w:val="0"/>
          <w:szCs w:val="24"/>
        </w:rPr>
        <w:t>Environmental Pollution</w:t>
      </w:r>
      <w:r w:rsidRPr="00437BF9">
        <w:rPr>
          <w:rFonts w:ascii="Arial" w:hAnsi="Arial" w:cs="Arial"/>
          <w:noProof/>
          <w:kern w:val="0"/>
          <w:szCs w:val="24"/>
        </w:rPr>
        <w:t xml:space="preserve">, </w:t>
      </w:r>
      <w:r w:rsidRPr="00437BF9">
        <w:rPr>
          <w:rFonts w:ascii="Arial" w:hAnsi="Arial" w:cs="Arial"/>
          <w:i/>
          <w:iCs/>
          <w:noProof/>
          <w:kern w:val="0"/>
          <w:szCs w:val="24"/>
        </w:rPr>
        <w:t>159</w:t>
      </w:r>
      <w:r w:rsidRPr="00437BF9">
        <w:rPr>
          <w:rFonts w:ascii="Arial" w:hAnsi="Arial" w:cs="Arial"/>
          <w:noProof/>
          <w:kern w:val="0"/>
          <w:szCs w:val="24"/>
        </w:rPr>
        <w:t>(8–9), 2100–2110. https://doi.org/10.1016/j.envpol.2010.10.029</w:t>
      </w:r>
    </w:p>
    <w:p w14:paraId="30C8AB1D"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Savi, T., Marin, M., Boldrin, D., Incerti, G., Andri, S., &amp; Nardini, A. (2014). Green roofs for a drier world: Effects of hydrogel amendment on substrate and plant water status. </w:t>
      </w:r>
      <w:r w:rsidRPr="00437BF9">
        <w:rPr>
          <w:rFonts w:ascii="Arial" w:hAnsi="Arial" w:cs="Arial"/>
          <w:i/>
          <w:iCs/>
          <w:noProof/>
          <w:kern w:val="0"/>
          <w:szCs w:val="24"/>
        </w:rPr>
        <w:t>Science of the Total Environment</w:t>
      </w:r>
      <w:r w:rsidRPr="00437BF9">
        <w:rPr>
          <w:rFonts w:ascii="Arial" w:hAnsi="Arial" w:cs="Arial"/>
          <w:noProof/>
          <w:kern w:val="0"/>
          <w:szCs w:val="24"/>
        </w:rPr>
        <w:t xml:space="preserve">, </w:t>
      </w:r>
      <w:r w:rsidRPr="00437BF9">
        <w:rPr>
          <w:rFonts w:ascii="Arial" w:hAnsi="Arial" w:cs="Arial"/>
          <w:i/>
          <w:iCs/>
          <w:noProof/>
          <w:kern w:val="0"/>
          <w:szCs w:val="24"/>
        </w:rPr>
        <w:t>490</w:t>
      </w:r>
      <w:r w:rsidRPr="00437BF9">
        <w:rPr>
          <w:rFonts w:ascii="Arial" w:hAnsi="Arial" w:cs="Arial"/>
          <w:noProof/>
          <w:kern w:val="0"/>
          <w:szCs w:val="24"/>
        </w:rPr>
        <w:t>, 467–476. https://doi.org/10.1016/j.scitotenv.2014.05.020</w:t>
      </w:r>
    </w:p>
    <w:p w14:paraId="1D594A8F"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Schindler, B. Y., Blaustein, L., Vasl, A., Kadas, G. J., &amp; Seifan, M. (2019). Cooling effect of Sedum sediforme and annual plants on green roofs in a Mediterranean climate. </w:t>
      </w:r>
      <w:r w:rsidRPr="00437BF9">
        <w:rPr>
          <w:rFonts w:ascii="Arial" w:hAnsi="Arial" w:cs="Arial"/>
          <w:i/>
          <w:iCs/>
          <w:noProof/>
          <w:kern w:val="0"/>
          <w:szCs w:val="24"/>
        </w:rPr>
        <w:t>Urban Forestry and Urban Greening</w:t>
      </w:r>
      <w:r w:rsidRPr="00437BF9">
        <w:rPr>
          <w:rFonts w:ascii="Arial" w:hAnsi="Arial" w:cs="Arial"/>
          <w:noProof/>
          <w:kern w:val="0"/>
          <w:szCs w:val="24"/>
        </w:rPr>
        <w:t xml:space="preserve">, </w:t>
      </w:r>
      <w:r w:rsidRPr="00437BF9">
        <w:rPr>
          <w:rFonts w:ascii="Arial" w:hAnsi="Arial" w:cs="Arial"/>
          <w:i/>
          <w:iCs/>
          <w:noProof/>
          <w:kern w:val="0"/>
          <w:szCs w:val="24"/>
        </w:rPr>
        <w:t>38</w:t>
      </w:r>
      <w:r w:rsidRPr="00437BF9">
        <w:rPr>
          <w:rFonts w:ascii="Arial" w:hAnsi="Arial" w:cs="Arial"/>
          <w:noProof/>
          <w:kern w:val="0"/>
          <w:szCs w:val="24"/>
        </w:rPr>
        <w:t>(January), 392–396. https://doi.org/10.1016/j.ufug.2019.01.020</w:t>
      </w:r>
    </w:p>
    <w:p w14:paraId="058E0D52"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Secretaría del Medio Ambiente de la Ciudad de México (SEDEMA). (2017). </w:t>
      </w:r>
      <w:r w:rsidRPr="00437BF9">
        <w:rPr>
          <w:rFonts w:ascii="Arial" w:hAnsi="Arial" w:cs="Arial"/>
          <w:i/>
          <w:iCs/>
          <w:noProof/>
          <w:kern w:val="0"/>
          <w:szCs w:val="24"/>
        </w:rPr>
        <w:t>Actualización del Inventario de Áreas Verdes Urbanas de la Ciudad de México</w:t>
      </w:r>
      <w:r w:rsidRPr="00437BF9">
        <w:rPr>
          <w:rFonts w:ascii="Arial" w:hAnsi="Arial" w:cs="Arial"/>
          <w:noProof/>
          <w:kern w:val="0"/>
          <w:szCs w:val="24"/>
        </w:rPr>
        <w:t>. https://sedema.cdmx.gob.mx/programas/programa/inventario</w:t>
      </w:r>
    </w:p>
    <w:p w14:paraId="35A1AD33"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Sitzenfrei, R., Kleidorfer, M., Bach, P. M., &amp; Bacchin, T. K. (2020). Green infrastructures for urban water system: Balance between cities and nature. </w:t>
      </w:r>
      <w:r w:rsidRPr="00437BF9">
        <w:rPr>
          <w:rFonts w:ascii="Arial" w:hAnsi="Arial" w:cs="Arial"/>
          <w:i/>
          <w:iCs/>
          <w:noProof/>
          <w:kern w:val="0"/>
          <w:szCs w:val="24"/>
        </w:rPr>
        <w:t>Water (Switzerland)</w:t>
      </w:r>
      <w:r w:rsidRPr="00437BF9">
        <w:rPr>
          <w:rFonts w:ascii="Arial" w:hAnsi="Arial" w:cs="Arial"/>
          <w:noProof/>
          <w:kern w:val="0"/>
          <w:szCs w:val="24"/>
        </w:rPr>
        <w:t xml:space="preserve">, </w:t>
      </w:r>
      <w:r w:rsidRPr="00437BF9">
        <w:rPr>
          <w:rFonts w:ascii="Arial" w:hAnsi="Arial" w:cs="Arial"/>
          <w:i/>
          <w:iCs/>
          <w:noProof/>
          <w:kern w:val="0"/>
          <w:szCs w:val="24"/>
        </w:rPr>
        <w:t>12</w:t>
      </w:r>
      <w:r w:rsidRPr="00437BF9">
        <w:rPr>
          <w:rFonts w:ascii="Arial" w:hAnsi="Arial" w:cs="Arial"/>
          <w:noProof/>
          <w:kern w:val="0"/>
          <w:szCs w:val="24"/>
        </w:rPr>
        <w:t>(5), 10–13. https://doi.org/10.3390/w12051456</w:t>
      </w:r>
    </w:p>
    <w:p w14:paraId="167E5007"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Solano, L., Ristvey, A. G., Lea-Cox, J. D., &amp; Cohan, S. M. (2012). Sequestering zinc from </w:t>
      </w:r>
      <w:r w:rsidRPr="00437BF9">
        <w:rPr>
          <w:rFonts w:ascii="Arial" w:hAnsi="Arial" w:cs="Arial"/>
          <w:noProof/>
          <w:kern w:val="0"/>
          <w:szCs w:val="24"/>
        </w:rPr>
        <w:lastRenderedPageBreak/>
        <w:t xml:space="preserve">recycled crumb rubber in extensive green roof media. </w:t>
      </w:r>
      <w:r w:rsidRPr="00437BF9">
        <w:rPr>
          <w:rFonts w:ascii="Arial" w:hAnsi="Arial" w:cs="Arial"/>
          <w:i/>
          <w:iCs/>
          <w:noProof/>
          <w:kern w:val="0"/>
          <w:szCs w:val="24"/>
        </w:rPr>
        <w:t>Ecological Engineering</w:t>
      </w:r>
      <w:r w:rsidRPr="00437BF9">
        <w:rPr>
          <w:rFonts w:ascii="Arial" w:hAnsi="Arial" w:cs="Arial"/>
          <w:noProof/>
          <w:kern w:val="0"/>
          <w:szCs w:val="24"/>
        </w:rPr>
        <w:t xml:space="preserve">, </w:t>
      </w:r>
      <w:r w:rsidRPr="00437BF9">
        <w:rPr>
          <w:rFonts w:ascii="Arial" w:hAnsi="Arial" w:cs="Arial"/>
          <w:i/>
          <w:iCs/>
          <w:noProof/>
          <w:kern w:val="0"/>
          <w:szCs w:val="24"/>
        </w:rPr>
        <w:t>47</w:t>
      </w:r>
      <w:r w:rsidRPr="00437BF9">
        <w:rPr>
          <w:rFonts w:ascii="Arial" w:hAnsi="Arial" w:cs="Arial"/>
          <w:noProof/>
          <w:kern w:val="0"/>
          <w:szCs w:val="24"/>
        </w:rPr>
        <w:t>, 284–290. https://doi.org/10.1016/j.ecoleng.2012.07.002</w:t>
      </w:r>
    </w:p>
    <w:p w14:paraId="06D0CF7F"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kern w:val="0"/>
          <w:szCs w:val="24"/>
        </w:rPr>
      </w:pPr>
      <w:r w:rsidRPr="00437BF9">
        <w:rPr>
          <w:rFonts w:ascii="Arial" w:hAnsi="Arial" w:cs="Arial"/>
          <w:noProof/>
          <w:kern w:val="0"/>
          <w:szCs w:val="24"/>
        </w:rPr>
        <w:t xml:space="preserve">U.S. Environmental Protection Agency (EPA). (2018). Estimating the environmental effects of Green roofs: A case study in Kansas City, Missouri. In </w:t>
      </w:r>
      <w:r w:rsidRPr="00437BF9">
        <w:rPr>
          <w:rFonts w:ascii="Arial" w:hAnsi="Arial" w:cs="Arial"/>
          <w:i/>
          <w:iCs/>
          <w:noProof/>
          <w:kern w:val="0"/>
          <w:szCs w:val="24"/>
        </w:rPr>
        <w:t>EPA 430-S-18-001</w:t>
      </w:r>
      <w:r w:rsidRPr="00437BF9">
        <w:rPr>
          <w:rFonts w:ascii="Arial" w:hAnsi="Arial" w:cs="Arial"/>
          <w:noProof/>
          <w:kern w:val="0"/>
          <w:szCs w:val="24"/>
        </w:rPr>
        <w:t>. www.epa.gov/heat-islands/using-green- roofs-reduce-heat-islands.</w:t>
      </w:r>
    </w:p>
    <w:p w14:paraId="13B50266" w14:textId="77777777" w:rsidR="00437BF9" w:rsidRPr="00437BF9" w:rsidRDefault="00437BF9" w:rsidP="00437BF9">
      <w:pPr>
        <w:widowControl w:val="0"/>
        <w:autoSpaceDE w:val="0"/>
        <w:autoSpaceDN w:val="0"/>
        <w:adjustRightInd w:val="0"/>
        <w:spacing w:line="240" w:lineRule="auto"/>
        <w:ind w:left="480" w:hanging="480"/>
        <w:jc w:val="both"/>
        <w:rPr>
          <w:rFonts w:ascii="Arial" w:hAnsi="Arial" w:cs="Arial"/>
          <w:noProof/>
        </w:rPr>
      </w:pPr>
      <w:r w:rsidRPr="00437BF9">
        <w:rPr>
          <w:rFonts w:ascii="Arial" w:hAnsi="Arial" w:cs="Arial"/>
          <w:noProof/>
          <w:kern w:val="0"/>
          <w:szCs w:val="24"/>
        </w:rPr>
        <w:t xml:space="preserve">Wang, J. W., Poh, C. H., Tan, C. Y. T., Lee, V. N., Jain, A., &amp; Webb, E. L. (2017). Building biodiversity: Drivers of bird and butterfly diversity on tropical urban roof gardens. </w:t>
      </w:r>
      <w:r w:rsidRPr="00437BF9">
        <w:rPr>
          <w:rFonts w:ascii="Arial" w:hAnsi="Arial" w:cs="Arial"/>
          <w:i/>
          <w:iCs/>
          <w:noProof/>
          <w:kern w:val="0"/>
          <w:szCs w:val="24"/>
        </w:rPr>
        <w:t>Ecosphere</w:t>
      </w:r>
      <w:r w:rsidRPr="00437BF9">
        <w:rPr>
          <w:rFonts w:ascii="Arial" w:hAnsi="Arial" w:cs="Arial"/>
          <w:noProof/>
          <w:kern w:val="0"/>
          <w:szCs w:val="24"/>
        </w:rPr>
        <w:t xml:space="preserve">, </w:t>
      </w:r>
      <w:r w:rsidRPr="00437BF9">
        <w:rPr>
          <w:rFonts w:ascii="Arial" w:hAnsi="Arial" w:cs="Arial"/>
          <w:i/>
          <w:iCs/>
          <w:noProof/>
          <w:kern w:val="0"/>
          <w:szCs w:val="24"/>
        </w:rPr>
        <w:t>8</w:t>
      </w:r>
      <w:r w:rsidRPr="00437BF9">
        <w:rPr>
          <w:rFonts w:ascii="Arial" w:hAnsi="Arial" w:cs="Arial"/>
          <w:noProof/>
          <w:kern w:val="0"/>
          <w:szCs w:val="24"/>
        </w:rPr>
        <w:t>(9). https://doi.org/10.1002/ecs2.1905</w:t>
      </w:r>
    </w:p>
    <w:p w14:paraId="364F791A" w14:textId="013A4233" w:rsidR="000F6295" w:rsidRPr="00437BF9" w:rsidRDefault="00437BF9" w:rsidP="00437BF9">
      <w:pPr>
        <w:jc w:val="both"/>
        <w:rPr>
          <w:rFonts w:ascii="Arial" w:hAnsi="Arial" w:cs="Arial"/>
        </w:rPr>
      </w:pPr>
      <w:r w:rsidRPr="00437BF9">
        <w:rPr>
          <w:rFonts w:ascii="Arial" w:hAnsi="Arial" w:cs="Arial"/>
        </w:rPr>
        <w:fldChar w:fldCharType="end"/>
      </w:r>
    </w:p>
    <w:sectPr w:rsidR="000F6295" w:rsidRPr="00437BF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30DD5"/>
    <w:multiLevelType w:val="hybridMultilevel"/>
    <w:tmpl w:val="FE221ED6"/>
    <w:lvl w:ilvl="0" w:tplc="080A000F">
      <w:start w:val="1"/>
      <w:numFmt w:val="decimal"/>
      <w:lvlText w:val="%1."/>
      <w:lvlJc w:val="left"/>
      <w:pPr>
        <w:ind w:left="1776" w:hanging="360"/>
      </w:pPr>
      <w:rPr>
        <w:rFonts w:hint="default"/>
      </w:rPr>
    </w:lvl>
    <w:lvl w:ilvl="1" w:tplc="080A0019">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14E53697"/>
    <w:multiLevelType w:val="hybridMultilevel"/>
    <w:tmpl w:val="D910C01E"/>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193073CA"/>
    <w:multiLevelType w:val="hybridMultilevel"/>
    <w:tmpl w:val="AFEA195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6951E0"/>
    <w:multiLevelType w:val="hybridMultilevel"/>
    <w:tmpl w:val="2CC6284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CC787B"/>
    <w:multiLevelType w:val="hybridMultilevel"/>
    <w:tmpl w:val="0D8C0FE0"/>
    <w:lvl w:ilvl="0" w:tplc="080A000B">
      <w:start w:val="1"/>
      <w:numFmt w:val="bullet"/>
      <w:lvlText w:val=""/>
      <w:lvlJc w:val="left"/>
      <w:pPr>
        <w:ind w:left="1428" w:hanging="360"/>
      </w:pPr>
      <w:rPr>
        <w:rFonts w:ascii="Wingdings" w:hAnsi="Wingdings"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5" w15:restartNumberingAfterBreak="0">
    <w:nsid w:val="59B8210C"/>
    <w:multiLevelType w:val="hybridMultilevel"/>
    <w:tmpl w:val="91608A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8E24D98"/>
    <w:multiLevelType w:val="hybridMultilevel"/>
    <w:tmpl w:val="FFCCB904"/>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num w:numId="1" w16cid:durableId="1601597013">
    <w:abstractNumId w:val="3"/>
  </w:num>
  <w:num w:numId="2" w16cid:durableId="1733967842">
    <w:abstractNumId w:val="1"/>
  </w:num>
  <w:num w:numId="3" w16cid:durableId="1527329287">
    <w:abstractNumId w:val="4"/>
  </w:num>
  <w:num w:numId="4" w16cid:durableId="729113684">
    <w:abstractNumId w:val="5"/>
  </w:num>
  <w:num w:numId="5" w16cid:durableId="1451128105">
    <w:abstractNumId w:val="0"/>
  </w:num>
  <w:num w:numId="6" w16cid:durableId="1686637223">
    <w:abstractNumId w:val="2"/>
  </w:num>
  <w:num w:numId="7" w16cid:durableId="635273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KwsDQzsjSxMDExsLRQ0lEKTi0uzszPAykwrQUANlbSnSwAAAA="/>
  </w:docVars>
  <w:rsids>
    <w:rsidRoot w:val="00F27EF8"/>
    <w:rsid w:val="000330A7"/>
    <w:rsid w:val="00041395"/>
    <w:rsid w:val="00042957"/>
    <w:rsid w:val="00045C80"/>
    <w:rsid w:val="000C454E"/>
    <w:rsid w:val="000D1B60"/>
    <w:rsid w:val="000E6498"/>
    <w:rsid w:val="000F6295"/>
    <w:rsid w:val="000F7F04"/>
    <w:rsid w:val="00105DFE"/>
    <w:rsid w:val="001129D8"/>
    <w:rsid w:val="00163D31"/>
    <w:rsid w:val="001673CC"/>
    <w:rsid w:val="00180C02"/>
    <w:rsid w:val="001A56EE"/>
    <w:rsid w:val="001D0383"/>
    <w:rsid w:val="001E6539"/>
    <w:rsid w:val="001F2EA8"/>
    <w:rsid w:val="00204B6B"/>
    <w:rsid w:val="002567B2"/>
    <w:rsid w:val="002770E8"/>
    <w:rsid w:val="002A25E3"/>
    <w:rsid w:val="002B18BD"/>
    <w:rsid w:val="002B2391"/>
    <w:rsid w:val="002E084C"/>
    <w:rsid w:val="00302BBE"/>
    <w:rsid w:val="003123A4"/>
    <w:rsid w:val="00321D15"/>
    <w:rsid w:val="0035211A"/>
    <w:rsid w:val="003808FD"/>
    <w:rsid w:val="003B2193"/>
    <w:rsid w:val="003C58EB"/>
    <w:rsid w:val="0040082E"/>
    <w:rsid w:val="004039ED"/>
    <w:rsid w:val="004051FB"/>
    <w:rsid w:val="004255DD"/>
    <w:rsid w:val="00437BF9"/>
    <w:rsid w:val="00445884"/>
    <w:rsid w:val="00455ED8"/>
    <w:rsid w:val="00462731"/>
    <w:rsid w:val="00472029"/>
    <w:rsid w:val="004757EF"/>
    <w:rsid w:val="00481589"/>
    <w:rsid w:val="004A0A54"/>
    <w:rsid w:val="004D3344"/>
    <w:rsid w:val="0057365E"/>
    <w:rsid w:val="00584598"/>
    <w:rsid w:val="005A18E1"/>
    <w:rsid w:val="005A1A18"/>
    <w:rsid w:val="005D0B0F"/>
    <w:rsid w:val="00605DE5"/>
    <w:rsid w:val="006214D2"/>
    <w:rsid w:val="00631928"/>
    <w:rsid w:val="0064692E"/>
    <w:rsid w:val="00652859"/>
    <w:rsid w:val="00673840"/>
    <w:rsid w:val="006766FC"/>
    <w:rsid w:val="006A143F"/>
    <w:rsid w:val="0070375E"/>
    <w:rsid w:val="00736478"/>
    <w:rsid w:val="00752D92"/>
    <w:rsid w:val="007661E4"/>
    <w:rsid w:val="007B3FCB"/>
    <w:rsid w:val="007C777B"/>
    <w:rsid w:val="00806058"/>
    <w:rsid w:val="00807274"/>
    <w:rsid w:val="00866C4B"/>
    <w:rsid w:val="0087202E"/>
    <w:rsid w:val="008743F2"/>
    <w:rsid w:val="0087457F"/>
    <w:rsid w:val="00874AD3"/>
    <w:rsid w:val="00881E17"/>
    <w:rsid w:val="00892A5C"/>
    <w:rsid w:val="008B7D2D"/>
    <w:rsid w:val="008D363B"/>
    <w:rsid w:val="008E1584"/>
    <w:rsid w:val="008E2F23"/>
    <w:rsid w:val="008E6F3F"/>
    <w:rsid w:val="008F512F"/>
    <w:rsid w:val="009251F7"/>
    <w:rsid w:val="00936848"/>
    <w:rsid w:val="00942FB7"/>
    <w:rsid w:val="00955F89"/>
    <w:rsid w:val="00962AF8"/>
    <w:rsid w:val="00991927"/>
    <w:rsid w:val="009A6E35"/>
    <w:rsid w:val="009F190D"/>
    <w:rsid w:val="00A31595"/>
    <w:rsid w:val="00A36576"/>
    <w:rsid w:val="00A8247E"/>
    <w:rsid w:val="00A82FCD"/>
    <w:rsid w:val="00A86BC5"/>
    <w:rsid w:val="00A96D5E"/>
    <w:rsid w:val="00AA5CA3"/>
    <w:rsid w:val="00AB5FBF"/>
    <w:rsid w:val="00AC5318"/>
    <w:rsid w:val="00AD2E18"/>
    <w:rsid w:val="00AE4FFA"/>
    <w:rsid w:val="00B10AB3"/>
    <w:rsid w:val="00BD1036"/>
    <w:rsid w:val="00BD48E2"/>
    <w:rsid w:val="00BE5546"/>
    <w:rsid w:val="00BF624B"/>
    <w:rsid w:val="00C53FC3"/>
    <w:rsid w:val="00C85368"/>
    <w:rsid w:val="00CC1768"/>
    <w:rsid w:val="00CE6FE9"/>
    <w:rsid w:val="00D232BD"/>
    <w:rsid w:val="00D56F7F"/>
    <w:rsid w:val="00DA5DDA"/>
    <w:rsid w:val="00DB4D4C"/>
    <w:rsid w:val="00E072A1"/>
    <w:rsid w:val="00E1554B"/>
    <w:rsid w:val="00E36C96"/>
    <w:rsid w:val="00E56A7B"/>
    <w:rsid w:val="00E87782"/>
    <w:rsid w:val="00EA0A0B"/>
    <w:rsid w:val="00EA3615"/>
    <w:rsid w:val="00EE51DB"/>
    <w:rsid w:val="00EE728C"/>
    <w:rsid w:val="00F22647"/>
    <w:rsid w:val="00F2379C"/>
    <w:rsid w:val="00F27EF8"/>
    <w:rsid w:val="00F802DA"/>
    <w:rsid w:val="00F94764"/>
    <w:rsid w:val="00F95917"/>
    <w:rsid w:val="00FB5440"/>
    <w:rsid w:val="00FC0FD1"/>
    <w:rsid w:val="00FF4C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6586D"/>
  <w15:chartTrackingRefBased/>
  <w15:docId w15:val="{2E099F7A-777F-4127-A51A-1ED72DD5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5F89"/>
    <w:pPr>
      <w:ind w:left="720"/>
      <w:contextualSpacing/>
    </w:pPr>
    <w:rPr>
      <w:kern w:val="0"/>
      <w:lang w:val="en-GB"/>
      <w14:ligatures w14:val="none"/>
    </w:rPr>
  </w:style>
  <w:style w:type="paragraph" w:customStyle="1" w:styleId="Default">
    <w:name w:val="Default"/>
    <w:rsid w:val="00955F8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Descripcin">
    <w:name w:val="caption"/>
    <w:basedOn w:val="Normal"/>
    <w:next w:val="Normal"/>
    <w:uiPriority w:val="35"/>
    <w:unhideWhenUsed/>
    <w:qFormat/>
    <w:rsid w:val="008F512F"/>
    <w:pPr>
      <w:spacing w:after="200" w:line="240" w:lineRule="auto"/>
    </w:pPr>
    <w:rPr>
      <w:i/>
      <w:iCs/>
      <w:color w:val="44546A" w:themeColor="text2"/>
      <w:kern w:val="0"/>
      <w:sz w:val="18"/>
      <w:szCs w:val="18"/>
      <w:lang w:val="es-ES_tradnl"/>
      <w14:ligatures w14:val="none"/>
    </w:rPr>
  </w:style>
  <w:style w:type="table" w:styleId="Tablanormal2">
    <w:name w:val="Plain Table 2"/>
    <w:basedOn w:val="Tablanormal"/>
    <w:uiPriority w:val="42"/>
    <w:rsid w:val="008F512F"/>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82931-42B4-4D3E-9511-1DEC61AD2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17</Pages>
  <Words>21735</Words>
  <Characters>118677</Characters>
  <Application>Microsoft Office Word</Application>
  <DocSecurity>0</DocSecurity>
  <Lines>3123</Lines>
  <Paragraphs>1264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Laura Cervantes Najera</dc:creator>
  <cp:keywords/>
  <dc:description/>
  <cp:lastModifiedBy>Ana Laura Cervantes</cp:lastModifiedBy>
  <cp:revision>12</cp:revision>
  <dcterms:created xsi:type="dcterms:W3CDTF">2023-02-28T20:27:00Z</dcterms:created>
  <dcterms:modified xsi:type="dcterms:W3CDTF">2023-06-09T21:13:00Z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47672210-7834-4fb6-8916-cf78ac75508b</vt:lpwstr>
  </property>
  <property fmtid="{D5CDD505-2E9C-101B-9397-08002B2CF9AE}" pid="3" name="Mendeley Document_1">
    <vt:lpwstr>True</vt:lpwstr>
  </property>
  <property fmtid="{D5CDD505-2E9C-101B-9397-08002B2CF9AE}" pid="4" name="Mendeley Unique User Id_1">
    <vt:lpwstr>3a114f96-e0eb-3146-b348-43fca8032b15</vt:lpwstr>
  </property>
  <property fmtid="{D5CDD505-2E9C-101B-9397-08002B2CF9AE}" pid="5" name="Mendeley Citation Style_1">
    <vt:lpwstr>http://www.zotero.org/styles/apa-annotated-bibliography</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6th edition</vt:lpwstr>
  </property>
  <property fmtid="{D5CDD505-2E9C-101B-9397-08002B2CF9AE}" pid="10" name="Mendeley Recent Style Id 2_1">
    <vt:lpwstr>http://www.zotero.org/styles/apa-annotated-bibliography</vt:lpwstr>
  </property>
  <property fmtid="{D5CDD505-2E9C-101B-9397-08002B2CF9AE}" pid="11" name="Mendeley Recent Style Name 2_1">
    <vt:lpwstr>American Psychological Association 7th edition (annotated bibliography)</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http://www.zotero.org/styles/ieee</vt:lpwstr>
  </property>
  <property fmtid="{D5CDD505-2E9C-101B-9397-08002B2CF9AE}" pid="15" name="Mendeley Recent Style Name 4_1">
    <vt:lpwstr>IEEE</vt:lpwstr>
  </property>
  <property fmtid="{D5CDD505-2E9C-101B-9397-08002B2CF9AE}" pid="16" name="Mendeley Recent Style Id 5_1">
    <vt:lpwstr>http://www.zotero.org/styles/modern-humanities-research-association</vt:lpwstr>
  </property>
  <property fmtid="{D5CDD505-2E9C-101B-9397-08002B2CF9AE}" pid="17" name="Mendeley Recent Style Name 5_1">
    <vt:lpwstr>Modern Humanities Research Association 3rd edition (note with bibliography)</vt:lpwstr>
  </property>
  <property fmtid="{D5CDD505-2E9C-101B-9397-08002B2CF9AE}" pid="18" name="Mendeley Recent Style Id 6_1">
    <vt:lpwstr>http://www.zotero.org/styles/modern-language-association</vt:lpwstr>
  </property>
  <property fmtid="{D5CDD505-2E9C-101B-9397-08002B2CF9AE}" pid="19" name="Mendeley Recent Style Name 6_1">
    <vt:lpwstr>Modern Language Association 8th edition</vt:lpwstr>
  </property>
  <property fmtid="{D5CDD505-2E9C-101B-9397-08002B2CF9AE}" pid="20" name="Mendeley Recent Style Id 7_1">
    <vt:lpwstr>http://www.zotero.org/styles/nature</vt:lpwstr>
  </property>
  <property fmtid="{D5CDD505-2E9C-101B-9397-08002B2CF9AE}" pid="21" name="Mendeley Recent Style Name 7_1">
    <vt:lpwstr>Nature</vt:lpwstr>
  </property>
  <property fmtid="{D5CDD505-2E9C-101B-9397-08002B2CF9AE}" pid="22" name="Mendeley Recent Style Id 8_1">
    <vt:lpwstr>http://www.zotero.org/styles/springer-basic-author-date</vt:lpwstr>
  </property>
  <property fmtid="{D5CDD505-2E9C-101B-9397-08002B2CF9AE}" pid="23" name="Mendeley Recent Style Name 8_1">
    <vt:lpwstr>Springer - Basic (author-date)</vt:lpwstr>
  </property>
  <property fmtid="{D5CDD505-2E9C-101B-9397-08002B2CF9AE}" pid="24" name="Mendeley Recent Style Id 9_1">
    <vt:lpwstr>http://www.zotero.org/styles/springerprotocols</vt:lpwstr>
  </property>
  <property fmtid="{D5CDD505-2E9C-101B-9397-08002B2CF9AE}" pid="25" name="Mendeley Recent Style Name 9_1">
    <vt:lpwstr>SpringerProtocols</vt:lpwstr>
  </property>
</Properties>
</file>